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April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WORKIVA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419" w:type="dxa"/>
        <w:jc w:val="center"/>
        <w:tblInd w:w="0" w:type="dxa"/>
        <w:tblLayout w:type="fixed"/>
        <w:tblCellMar>
          <w:top w:w="28" w:type="dxa"/>
          <w:left w:w="28" w:type="dxa"/>
          <w:bottom w:w="28" w:type="dxa"/>
          <w:right w:w="28" w:type="dxa"/>
        </w:tblCellMar>
      </w:tblPr>
      <w:tblGrid>
        <w:gridCol w:w="1564"/>
        <w:gridCol w:w="1374"/>
        <w:gridCol w:w="1382"/>
        <w:gridCol w:w="689"/>
        <w:gridCol w:w="689"/>
        <w:gridCol w:w="691"/>
        <w:gridCol w:w="886"/>
        <w:gridCol w:w="886"/>
        <w:gridCol w:w="1258"/>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001-36773</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47-2509828</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2900 University Blvd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Ames, IA 50010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c>
      </w:tr>
    </w:tbl>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8045" w:type="dxa"/>
        <w:jc w:val="center"/>
        <w:tblInd w:w="0" w:type="dxa"/>
        <w:tblLayout w:type="fixed"/>
        <w:tblCellMar>
          <w:top w:w="28" w:type="dxa"/>
          <w:left w:w="28" w:type="dxa"/>
          <w:bottom w:w="28" w:type="dxa"/>
          <w:right w:w="28" w:type="dxa"/>
        </w:tblCellMar>
      </w:tblPr>
      <w:tblGrid>
        <w:gridCol w:w="1137"/>
        <w:gridCol w:w="999"/>
        <w:gridCol w:w="999"/>
        <w:gridCol w:w="477"/>
        <w:gridCol w:w="477"/>
        <w:gridCol w:w="477"/>
        <w:gridCol w:w="1019"/>
        <w:gridCol w:w="1019"/>
        <w:gridCol w:w="1441"/>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120" w:after="60"/>
        <w:jc w:val="left"/>
        <w:rPr/>
      </w:pPr>
      <w:r>
        <w:rPr/>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12b-2 of the Exchange Act. </w:t>
      </w:r>
    </w:p>
    <w:p>
      <w:pPr>
        <w:pStyle w:val="TextBody"/>
        <w:bidi w:val="0"/>
        <w:spacing w:lineRule="auto" w:line="288" w:before="120" w:after="60"/>
        <w:jc w:val="both"/>
        <w:rPr/>
      </w:pPr>
      <w:r>
        <w:rPr>
          <w:rFonts w:ascii="Times New Roman;serif" w:hAnsi="Times New Roman;serif"/>
          <w:b w:val="false"/>
          <w:color w:val="000000"/>
          <w:sz w:val="18"/>
        </w:rPr>
        <w:t>Emerging growth company    </w:t>
      </w:r>
      <w:r>
        <w:rPr>
          <w:color w:val="000000"/>
        </w:rPr>
        <w:t>☐</w:t>
      </w:r>
    </w:p>
    <w:p>
      <w:pPr>
        <w:pStyle w:val="TextBody"/>
        <w:bidi w:val="0"/>
        <w:spacing w:lineRule="auto" w:line="288" w:before="120" w:after="1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990"/>
        <w:jc w:val="left"/>
        <w:rPr>
          <w:rFonts w:ascii="Times New Roman;serif" w:hAnsi="Times New Roman;serif"/>
          <w:b/>
          <w:color w:val="000000"/>
          <w:sz w:val="20"/>
        </w:rPr>
      </w:pPr>
      <w:r>
        <w:rPr>
          <w:rFonts w:ascii="Times New Roman;serif" w:hAnsi="Times New Roman;serif"/>
          <w:b/>
          <w:color w:val="000000"/>
          <w:sz w:val="20"/>
        </w:rPr>
        <w:t>Section 4 - Matters Related to Accountants and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pPr>
      <w:r>
        <w:rPr>
          <w:rFonts w:ascii="Times New Roman;serif" w:hAnsi="Times New Roman;serif"/>
          <w:b/>
          <w:i/>
          <w:color w:val="000000"/>
          <w:sz w:val="20"/>
        </w:rPr>
        <w:t xml:space="preserve">Item 4.01 </w:t>
      </w:r>
      <w:r>
        <w:rPr>
          <w:rFonts w:ascii="Times New Roman;serif" w:hAnsi="Times New Roman;serif"/>
          <w:b/>
          <w:i/>
          <w:color w:val="000000"/>
          <w:sz w:val="24"/>
        </w:rPr>
        <w:t>-</w:t>
      </w:r>
      <w:r>
        <w:rPr>
          <w:color w:val="000000"/>
        </w:rPr>
        <w:t xml:space="preserve"> </w:t>
      </w:r>
      <w:r>
        <w:rPr>
          <w:rFonts w:ascii="Times New Roman;serif" w:hAnsi="Times New Roman;serif"/>
          <w:b/>
          <w:i/>
          <w:color w:val="000000"/>
          <w:sz w:val="20"/>
        </w:rPr>
        <w:t>Changes in Registrant’s Certifying Accountant.</w:t>
      </w:r>
    </w:p>
    <w:p>
      <w:pPr>
        <w:pStyle w:val="TextBody"/>
        <w:bidi w:val="0"/>
        <w:spacing w:lineRule="auto" w:line="288" w:before="120" w:after="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 Dismissal of Independent Registered Public Accounting Firm.</w:t>
      </w:r>
    </w:p>
    <w:p>
      <w:pPr>
        <w:pStyle w:val="TextBody"/>
        <w:bidi w:val="0"/>
        <w:spacing w:lineRule="auto" w:line="288" w:before="120" w:after="60"/>
        <w:ind w:left="0" w:right="0" w:firstLine="72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n April 30, 2026, the Audit Committee of the Board of Directors (the “Committee”) of Workiva Inc. (the “Company”) approved the dismissal of Ernst &amp; Young LLP (“EY”) as the Company’s independent registered public accounting firm, effective immediately following the completion of their interim review of the Company’s unaudited interim consolidated financial statements for the quarter ended March 31, 2026, and the filing of the Company’s Quarterly Report on Form 10-Q for that interim period.</w:t>
      </w:r>
    </w:p>
    <w:p>
      <w:pPr>
        <w:pStyle w:val="TextBody"/>
        <w:bidi w:val="0"/>
        <w:spacing w:lineRule="auto" w:line="288" w:before="12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reports of EY on the Company’s financial statements for each of the two fiscal years ended December 31, 2025 and December 31, 2024, did not contain an adverse opinion or a disclaimer of opinion, and were not qualified or modified as to uncertainty, audit scope, or accounting principles.</w:t>
      </w:r>
    </w:p>
    <w:p>
      <w:pPr>
        <w:pStyle w:val="TextBody"/>
        <w:bidi w:val="0"/>
        <w:spacing w:lineRule="auto" w:line="288" w:before="12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December 31, 2025 and December 31, 2024, and the subsequent interim period preceding May 5, 2026, there were (i) no “disagreements” (as that term is defined in Item 304(a)(1)(iv) of Regulation S-K and the related instructions) with EY on any matter of accounting principles or practices, financial statement disclosure, or auditing scope or procedures, which disagreements, if not resolved to the satisfaction of EY, would have caused EY to make reference to the matter of the disagreement in their reports on the financial statements for such years and (ii) no “reportable events” (as that term is defined in Item 304(a)(1)(v) of Regulation S-K).</w:t>
      </w:r>
    </w:p>
    <w:p>
      <w:pPr>
        <w:pStyle w:val="TextBody"/>
        <w:bidi w:val="0"/>
        <w:spacing w:lineRule="auto" w:line="288" w:before="12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provided EY with a copy of the disclosures it is making in this Current Report on Form 8-K and requested that EY furnish the Company a letter addressed to the Securities and Exchange Commission stating whether it agrees with the statements made herein. A copy of EY’s letter, dated May 5, 2026, is filed as Exhibit 16.1 to this Current Report on Form 8-K.</w:t>
      </w:r>
    </w:p>
    <w:p>
      <w:pPr>
        <w:pStyle w:val="TextBody"/>
        <w:bidi w:val="0"/>
        <w:spacing w:lineRule="auto" w:line="288" w:before="120" w:after="60"/>
        <w:jc w:val="both"/>
        <w:rPr>
          <w:rFonts w:ascii="Times New Roman;serif" w:hAnsi="Times New Roman;serif"/>
          <w:b w:val="false"/>
          <w:i/>
          <w:color w:val="000000"/>
          <w:sz w:val="20"/>
        </w:rPr>
      </w:pPr>
      <w:r>
        <w:rPr>
          <w:rFonts w:ascii="Times New Roman;serif" w:hAnsi="Times New Roman;serif"/>
          <w:b w:val="false"/>
          <w:i/>
          <w:color w:val="000000"/>
          <w:sz w:val="20"/>
        </w:rPr>
        <w:t>(b) Appointment of New Independent Registered Public Accounting Firm.</w:t>
      </w:r>
    </w:p>
    <w:p>
      <w:pPr>
        <w:pStyle w:val="TextBody"/>
        <w:bidi w:val="0"/>
        <w:spacing w:lineRule="auto" w:line="288" w:before="12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Committee approved the engagement of Grant Thornton, LLP (“GT”) as its new independent registered public accounting firm for the Company’s fiscal year ending December 31, 2026 and related interim periods. </w:t>
      </w:r>
    </w:p>
    <w:p>
      <w:pPr>
        <w:pStyle w:val="TextBody"/>
        <w:bidi w:val="0"/>
        <w:spacing w:lineRule="auto" w:line="288" w:before="120" w:after="60"/>
        <w:ind w:left="0" w:right="0" w:firstLine="720"/>
        <w:jc w:val="both"/>
        <w:rPr/>
      </w:pPr>
      <w:r>
        <w:rPr>
          <w:rFonts w:ascii="Times New Roman;serif" w:hAnsi="Times New Roman;serif"/>
          <w:b w:val="false"/>
          <w:color w:val="000000"/>
          <w:sz w:val="20"/>
        </w:rPr>
        <w:t>During the Company’s two most recent fiscal years ended December 31, 2025 and December 31, 2024, and for the subsequent interim period preceding May 5, 2026, neither the Company nor anyone on its behalf consulted GT regarding (i) the application of accounting principles to a specified transac</w:t>
      </w:r>
      <w:r>
        <w:rPr>
          <w:rFonts w:ascii="Times New Roman;serif" w:hAnsi="Times New Roman;serif"/>
          <w:b w:val="false"/>
          <w:color w:val="000000"/>
          <w:sz w:val="20"/>
          <w:shd w:fill="FFFFFF" w:val="clear"/>
        </w:rPr>
        <w:t>tion, either completed or proposed, or the type of audit opinion that might be rendered on the consolidated financial statements of the Company, in connection with which neither a written report nor oral advice was provided to the Company that GT concluded was an important factor considered by the Company in reaching a decision as to the accounting, auditing or financial reporting issue; (ii) any matter that was either the subject of a disagreement as defined in Item 304(a)(1)(iv) of Regulation S-K or a reportable event as described in Item 304(a)(1)(v)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90"/>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9.01 - Financial Statements and 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tbl>
      <w:tblPr>
        <w:tblW w:w="907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316"/>
        <w:gridCol w:w="2316"/>
        <w:gridCol w:w="330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61.htm">
              <w:r>
                <w:rPr>
                  <w:rStyle w:val="InternetLink"/>
                  <w:rFonts w:ascii="Times New Roman;serif" w:hAnsi="Times New Roman;serif"/>
                  <w:b w:val="false"/>
                  <w:color w:val="0000EE"/>
                  <w:sz w:val="20"/>
                  <w:u w:val="single"/>
                </w:rPr>
                <w:t>Letter from Ernst &amp; Young LLP to the Securities and Exchange Commission, dated May 5,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5th day of May, 2026.</w:t>
      </w:r>
    </w:p>
    <w:p>
      <w:pPr>
        <w:pStyle w:val="TextBody"/>
        <w:bidi w:val="0"/>
        <w:spacing w:before="0" w:after="0"/>
        <w:jc w:val="left"/>
        <w:rPr/>
      </w:pPr>
      <w:r>
        <w:rPr/>
      </w:r>
    </w:p>
    <w:tbl>
      <w:tblPr>
        <w:tblW w:w="6175" w:type="dxa"/>
        <w:jc w:val="right"/>
        <w:tblInd w:w="0" w:type="dxa"/>
        <w:tblLayout w:type="fixed"/>
        <w:tblCellMar>
          <w:top w:w="28" w:type="dxa"/>
          <w:left w:w="28" w:type="dxa"/>
          <w:bottom w:w="28" w:type="dxa"/>
          <w:right w:w="28" w:type="dxa"/>
        </w:tblCellMar>
      </w:tblPr>
      <w:tblGrid>
        <w:gridCol w:w="325"/>
        <w:gridCol w:w="285"/>
        <w:gridCol w:w="285"/>
        <w:gridCol w:w="1535"/>
        <w:gridCol w:w="1535"/>
        <w:gridCol w:w="2210"/>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617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WORKIVA INC.</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May 5, 2026</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Commissioners: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have read Item 4.01 of Form 8-K dated May 5, 2026, of Workiva Inc. and are in agreement with the statements contained in the first, second and third paragraphs on page 1 therein. We have no basis to agree or disagree with other statements of the registrant contained therein.</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968</Words>
  <Characters>5312</Characters>
  <CharactersWithSpaces>6203</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