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May 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WORKIVA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419" w:type="dxa"/>
        <w:jc w:val="center"/>
        <w:tblInd w:w="0" w:type="dxa"/>
        <w:tblLayout w:type="fixed"/>
        <w:tblCellMar>
          <w:top w:w="28" w:type="dxa"/>
          <w:left w:w="28" w:type="dxa"/>
          <w:bottom w:w="28" w:type="dxa"/>
          <w:right w:w="28" w:type="dxa"/>
        </w:tblCellMar>
      </w:tblPr>
      <w:tblGrid>
        <w:gridCol w:w="1564"/>
        <w:gridCol w:w="1374"/>
        <w:gridCol w:w="1382"/>
        <w:gridCol w:w="689"/>
        <w:gridCol w:w="689"/>
        <w:gridCol w:w="691"/>
        <w:gridCol w:w="886"/>
        <w:gridCol w:w="886"/>
        <w:gridCol w:w="1258"/>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001-36773</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120" w:after="60"/>
        <w:jc w:val="left"/>
        <w:rPr/>
      </w:pPr>
      <w:r>
        <w:rPr/>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12b-2 of the Exchange Act. </w:t>
      </w:r>
    </w:p>
    <w:p>
      <w:pPr>
        <w:pStyle w:val="TextBody"/>
        <w:bidi w:val="0"/>
        <w:spacing w:lineRule="auto" w:line="288" w:before="120" w:after="60"/>
        <w:jc w:val="both"/>
        <w:rPr/>
      </w:pPr>
      <w:r>
        <w:rPr>
          <w:rFonts w:ascii="Times New Roman;serif" w:hAnsi="Times New Roman;serif"/>
          <w:b w:val="false"/>
          <w:color w:val="000000"/>
          <w:sz w:val="18"/>
        </w:rPr>
        <w:t>Emerging growth company    </w:t>
      </w:r>
      <w:r>
        <w:rPr>
          <w:color w:val="000000"/>
        </w:rPr>
        <w:t>☐</w:t>
      </w:r>
    </w:p>
    <w:p>
      <w:pPr>
        <w:pStyle w:val="TextBody"/>
        <w:bidi w:val="0"/>
        <w:spacing w:lineRule="auto" w:line="288" w:before="12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Section 2 -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Item 2.02 - Results of Operations and Financial Condition</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May 5, 2026, Workiva Inc. (the “Company”) issued a press release announcing its results for the quarter ended March 31, 2026. A copy of the press release is attached as Exhibit 99.1 to this current report on Form 8-K and is incorporated by reference herein.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Section 9 - Financial Statements and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Item 9.01 - Financial Statements and Exhibits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(d): The following exhibits are being filed herewith:</w:t>
      </w:r>
    </w:p>
    <w:tbl>
      <w:tblPr>
        <w:tblW w:w="949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441"/>
        <w:gridCol w:w="2441"/>
        <w:gridCol w:w="347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hibit991.htm">
              <w:r>
                <w:rPr>
                  <w:rStyle w:val="InternetLink"/>
                  <w:rFonts w:ascii="Times New Roman;serif" w:hAnsi="Times New Roman;serif"/>
                  <w:b w:val="false"/>
                  <w:color w:val="0000FF"/>
                  <w:sz w:val="20"/>
                  <w:u w:val="single"/>
                </w:rPr>
                <w:t>Press Release entitled "Workiva Announces First Quarter 2026 Financial Results" dated May 5, 2026</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5th day of May, 2026.</w:t>
      </w:r>
    </w:p>
    <w:p>
      <w:pPr>
        <w:pStyle w:val="TextBody"/>
        <w:bidi w:val="0"/>
        <w:spacing w:before="0" w:after="0"/>
        <w:jc w:val="left"/>
        <w:rPr/>
      </w:pPr>
      <w:r>
        <w:rPr/>
      </w:r>
    </w:p>
    <w:tbl>
      <w:tblPr>
        <w:tblW w:w="6220" w:type="dxa"/>
        <w:jc w:val="right"/>
        <w:tblInd w:w="0" w:type="dxa"/>
        <w:tblLayout w:type="fixed"/>
        <w:tblCellMar>
          <w:top w:w="28" w:type="dxa"/>
          <w:left w:w="28" w:type="dxa"/>
          <w:bottom w:w="28" w:type="dxa"/>
          <w:right w:w="28" w:type="dxa"/>
        </w:tblCellMar>
      </w:tblPr>
      <w:tblGrid>
        <w:gridCol w:w="325"/>
        <w:gridCol w:w="285"/>
        <w:gridCol w:w="285"/>
        <w:gridCol w:w="1548"/>
        <w:gridCol w:w="1548"/>
        <w:gridCol w:w="2229"/>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622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638300" cy="3905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638300" cy="3905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8"/>
        </w:rPr>
      </w:pPr>
      <w:r>
        <w:rPr>
          <w:rFonts w:ascii="Times New Roman;serif" w:hAnsi="Times New Roman;serif"/>
          <w:b/>
          <w:color w:val="000000"/>
          <w:sz w:val="28"/>
        </w:rPr>
        <w:t>Workiva Announces First Quarter 2026 Financial Results</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Fiscal first quarter subscription &amp; support revenue increased by 21%</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Total revenue was $247 million, up 20% year-over-year</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GAAP operating margin was 6.2%, non-GAAP operating margin was 18.4%</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Repurchased $50 million worth of Class A common stock under the 2024 share repurchase plan</w:t>
      </w:r>
    </w:p>
    <w:p>
      <w:pPr>
        <w:pStyle w:val="TextBody"/>
        <w:bidi w:val="0"/>
        <w:spacing w:before="0" w:after="0"/>
        <w:jc w:val="center"/>
        <w:rPr/>
      </w:pPr>
      <w:r>
        <w:rPr/>
      </w:r>
    </w:p>
    <w:p>
      <w:pPr>
        <w:pStyle w:val="TextBody"/>
        <w:bidi w:val="0"/>
        <w:spacing w:lineRule="auto" w:line="288" w:before="120" w:after="120"/>
        <w:jc w:val="both"/>
        <w:rPr/>
      </w:pPr>
      <w:r>
        <w:rPr>
          <w:rFonts w:ascii="Times New Roman;serif" w:hAnsi="Times New Roman;serif"/>
          <w:b/>
          <w:color w:val="000000"/>
          <w:sz w:val="22"/>
        </w:rPr>
        <w:t>NEW YORK - May 5, 2026</w:t>
      </w:r>
      <w:r>
        <w:rPr>
          <w:color w:val="000000"/>
        </w:rPr>
        <w:t xml:space="preserve"> – </w:t>
      </w:r>
      <w:r>
        <w:rPr>
          <w:rFonts w:ascii="Times New Roman;serif" w:hAnsi="Times New Roman;serif"/>
          <w:b w:val="false"/>
          <w:color w:val="000000"/>
          <w:sz w:val="22"/>
        </w:rPr>
        <w:t xml:space="preserve">Workiva Inc. (NYSE: WK), a leading, AI-powered platform for trust, transparency, and accountability, today announced financial results for its first quarter ended March 31, 2026.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2"/>
        </w:rPr>
        <w:t>Q1 2026 was another strong quarter as organizations across every industry turn to Workiva as their platform of trust for the Office of the CFO,” said Julie Iskow, President &amp; Chief Executive Officer. “In a world where AI is accelerating the pace of change, the tolerance for error in financial reporting, sustainability, and governance, risk and compliance is zero, and our customers increasingly rely on us to ensure that every number and every narrative is accurate, traceable, and audit-ready.”</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2"/>
        </w:rPr>
        <w:t>Our first quarter results reflect strong execution across the business, with 21% subscription revenue growth and a non-GAAP operating margin of 18.4%, a 1,600 basis-point improvement compared to a year ago,” said Barbara Larson, Chief Financial Officer. “This level of margin expansion, while sustaining durable top-line growth, demonstrates the operating leverage we are building in the business and reflects the disciplined foundation we've established to drive growth at scale.”</w:t>
      </w:r>
    </w:p>
    <w:p>
      <w:pPr>
        <w:pStyle w:val="TextBody"/>
        <w:bidi w:val="0"/>
        <w:spacing w:lineRule="auto" w:line="288" w:before="300" w:after="240"/>
        <w:jc w:val="both"/>
        <w:rPr>
          <w:rFonts w:ascii="Times New Roman;serif" w:hAnsi="Times New Roman;serif"/>
          <w:b/>
          <w:color w:val="000000"/>
          <w:sz w:val="22"/>
          <w:u w:val="single"/>
        </w:rPr>
      </w:pPr>
      <w:r>
        <w:rPr>
          <w:rFonts w:ascii="Times New Roman;serif" w:hAnsi="Times New Roman;serif"/>
          <w:b/>
          <w:color w:val="000000"/>
          <w:sz w:val="22"/>
          <w:u w:val="single"/>
        </w:rPr>
        <w:t>First Quarter 2026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Revenue:</w:t>
      </w:r>
      <w:r>
        <w:rPr>
          <w:color w:val="000000"/>
        </w:rPr>
        <w:t xml:space="preserve"> </w:t>
      </w:r>
      <w:r>
        <w:rPr>
          <w:rFonts w:ascii="Times New Roman;serif" w:hAnsi="Times New Roman;serif"/>
          <w:b w:val="false"/>
          <w:color w:val="000000"/>
          <w:sz w:val="22"/>
        </w:rPr>
        <w:t>Total revenue for the first quarter of 2026 reached</w:t>
      </w:r>
      <w:r>
        <w:rPr>
          <w:color w:val="000000"/>
        </w:rPr>
        <w:t xml:space="preserve"> </w:t>
      </w:r>
      <w:r>
        <w:rPr>
          <w:rFonts w:ascii="Times New Roman;serif" w:hAnsi="Times New Roman;serif"/>
          <w:b w:val="false"/>
          <w:color w:val="000000"/>
          <w:sz w:val="22"/>
        </w:rPr>
        <w:t>$247 million, an increase of 20% from $206 million in the first quarter of 2025. Subscription and support revenue contributed $225 million, up 21% versus the first quarter of 2025. Professional services revenue was $22 million, up slightly from the first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Operating Margin: </w:t>
      </w:r>
      <w:r>
        <w:rPr>
          <w:rFonts w:ascii="Times New Roman;serif" w:hAnsi="Times New Roman;serif"/>
          <w:b w:val="false"/>
          <w:color w:val="000000"/>
          <w:sz w:val="22"/>
        </w:rPr>
        <w:t>GAAP operating margin for the first quarter of 2026 was 6.2% compared to (12.0)% in the prior year's first quarter. Non-GAAP operating margin was 18.4% compared to 2.4% in the first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GAAP Net Income (Loss): </w:t>
      </w:r>
      <w:r>
        <w:rPr>
          <w:rFonts w:ascii="Times New Roman;serif" w:hAnsi="Times New Roman;serif"/>
          <w:b w:val="false"/>
          <w:color w:val="000000"/>
          <w:sz w:val="22"/>
        </w:rPr>
        <w:t>GAAP net income for the first quarter of 2026 was $19 million compared with a net loss of $(21) million for the prior year's first quarter. GAAP net income per basic share and diluted share was $0.33,</w:t>
      </w:r>
      <w:r>
        <w:rPr>
          <w:color w:val="000000"/>
        </w:rPr>
        <w:t xml:space="preserve"> </w:t>
      </w:r>
      <w:r>
        <w:rPr>
          <w:rFonts w:ascii="Times New Roman;serif" w:hAnsi="Times New Roman;serif"/>
          <w:b w:val="false"/>
          <w:color w:val="000000"/>
          <w:sz w:val="22"/>
        </w:rPr>
        <w:t>compared with a net loss per basic and diluted share of $(0.38) in the first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2"/>
        </w:rPr>
        <w:t>Non-GAAP Net Income:</w:t>
      </w:r>
      <w:r>
        <w:rPr>
          <w:color w:val="000000"/>
        </w:rPr>
        <w:t xml:space="preserve"> </w:t>
      </w:r>
      <w:r>
        <w:rPr>
          <w:rFonts w:ascii="Times New Roman;serif" w:hAnsi="Times New Roman;serif"/>
          <w:b w:val="false"/>
          <w:color w:val="000000"/>
          <w:sz w:val="22"/>
        </w:rPr>
        <w:t>Non-GAAP net income for the first quarter of 2026 was $49 million compared with non-GAAP net income of $8 million in the prior year's first quarter. Non-GAAP net income per basic share and diluted share in the first quarter of 2026 was $0.86 and $0.77, respectively, compared with non-GAAP net income per basic share and diluted share of $0.15 and $0.14, respectively,</w:t>
      </w:r>
      <w:r>
        <w:rPr>
          <w:color w:val="000000"/>
        </w:rPr>
        <w:t xml:space="preserve"> </w:t>
      </w:r>
      <w:r>
        <w:rPr>
          <w:rFonts w:ascii="Times New Roman;serif" w:hAnsi="Times New Roman;serif"/>
          <w:b w:val="false"/>
          <w:color w:val="000000"/>
          <w:sz w:val="22"/>
        </w:rPr>
        <w:t>in the first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2"/>
        </w:rPr>
        <w:t xml:space="preserve">Liquidity: </w:t>
      </w:r>
      <w:r>
        <w:rPr>
          <w:rFonts w:ascii="Times New Roman;serif" w:hAnsi="Times New Roman;serif"/>
          <w:b w:val="false"/>
          <w:color w:val="000000"/>
          <w:sz w:val="22"/>
        </w:rPr>
        <w:t>As of March 31, 2026, Workiva had cash, cash equivalents, and marketable securities totaling $863 million, compared with $892 million as of December 31, 2025. Workiva had $71 million aggregate principal amount of 1.125% convertible senior notes due in 2026, $702 million aggregate principal amount of 1.250% convertible senior notes due in 2028, and $14 million of finance lease obligations outstanding as of March 31, 2026.</w:t>
      </w:r>
    </w:p>
    <w:p>
      <w:pPr>
        <w:pStyle w:val="TextBody"/>
        <w:bidi w:val="0"/>
        <w:spacing w:lineRule="auto" w:line="288" w:before="240" w:after="283"/>
        <w:jc w:val="both"/>
        <w:rPr>
          <w:rFonts w:ascii="Times New Roman;serif" w:hAnsi="Times New Roman;serif"/>
          <w:b/>
          <w:color w:val="000000"/>
          <w:sz w:val="22"/>
          <w:u w:val="single"/>
        </w:rPr>
      </w:pPr>
      <w:r>
        <w:rPr>
          <w:rFonts w:ascii="Times New Roman;serif" w:hAnsi="Times New Roman;serif"/>
          <w:b/>
          <w:color w:val="000000"/>
          <w:sz w:val="22"/>
          <w:u w:val="single"/>
        </w:rPr>
        <w:t>Key Metrics and Recent Business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Customers: </w:t>
      </w:r>
      <w:r>
        <w:rPr>
          <w:rFonts w:ascii="Times New Roman;serif" w:hAnsi="Times New Roman;serif"/>
          <w:b w:val="false"/>
          <w:color w:val="000000"/>
          <w:sz w:val="22"/>
        </w:rPr>
        <w:t xml:space="preserve">Workiva had 6,665 customers as of March 31, 2026, a net increase of 280 customers from March 31, 2025.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Retention Rate:</w:t>
      </w:r>
      <w:r>
        <w:rPr>
          <w:color w:val="000000"/>
        </w:rPr>
        <w:t xml:space="preserve"> </w:t>
      </w:r>
      <w:r>
        <w:rPr>
          <w:rFonts w:ascii="Times New Roman;serif" w:hAnsi="Times New Roman;serif"/>
          <w:b w:val="false"/>
          <w:color w:val="000000"/>
          <w:sz w:val="22"/>
        </w:rPr>
        <w:t>As of March 31, 2026, Workiva's gross retention rate was 97%, and the net retention rate was 112%. Net retention includes changes in both solutions and pricing for existing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Large Contracts: </w:t>
      </w:r>
      <w:r>
        <w:rPr>
          <w:rFonts w:ascii="Times New Roman;serif" w:hAnsi="Times New Roman;serif"/>
          <w:b w:val="false"/>
          <w:color w:val="000000"/>
          <w:sz w:val="22"/>
        </w:rPr>
        <w:t>As of March 31, 2026, Workiva had 2,575 customers with an annual contract value (“ACV”) of more than $100,000, up 24% from 2,079 customers at March 31, 2025. Workiva had 605 customers with an ACV of more than $300,000, up 38% from 439 customers in the first quarter of 2025. Workiva had 265 customers with an ACV of more than $500,000, up 39% from 191 customers in the first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Share Repurchase Plan: </w:t>
      </w:r>
      <w:r>
        <w:rPr>
          <w:rFonts w:ascii="Times New Roman;serif" w:hAnsi="Times New Roman;serif"/>
          <w:b w:val="false"/>
          <w:color w:val="000000"/>
          <w:sz w:val="22"/>
        </w:rPr>
        <w:t>On July 30, 2024, our board of directors authorized a share repurchase plan for up to $100 million of our outstanding Class A common stock. On February 16, 2026, our board of directors modified the repurchase plan to authorize an additional $250 million of the Company’s outstanding Class A common stock for repurchase under the plan. During the first quarter of 2026, Workiva purchased approximately 763,000 shares for $50 million under the plan. As of March 31, 2026, approximately $228 million remained available under the plan for future share repurchases.</w:t>
      </w:r>
    </w:p>
    <w:p>
      <w:pPr>
        <w:pStyle w:val="TextBody"/>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Financial Outlook</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As of May 5, 2026, Workiva is providing guidance as follows:</w:t>
      </w:r>
    </w:p>
    <w:p>
      <w:pPr>
        <w:pStyle w:val="TextBody"/>
        <w:bidi w:val="0"/>
        <w:spacing w:lineRule="auto" w:line="288" w:before="120" w:after="283"/>
        <w:jc w:val="both"/>
        <w:rPr/>
      </w:pPr>
      <w:r>
        <w:rPr>
          <w:rFonts w:ascii="Times New Roman;serif" w:hAnsi="Times New Roman;serif"/>
          <w:b/>
          <w:color w:val="000000"/>
          <w:sz w:val="22"/>
        </w:rPr>
        <w:t>Second Quarter 2026 Guidance</w:t>
      </w:r>
      <w:r>
        <w:rPr>
          <w:rFonts w:ascii="Times New Roman;serif" w:hAnsi="Times New Roman;serif"/>
          <w:b w:val="false"/>
          <w:color w:val="000000"/>
          <w:sz w:val="22"/>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Total revenue is expected to be in the range of $250 million to $252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operating margin is expected to be in the range of 1.6% to 2.2%.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operating margin is expected to be in the range of 14.5% to 15.0%.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net income per diluted share is expected to be in the range of $0.12 to $0.15 using 57.0 million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net income per diluted share is expected to be in the range of $0.62 to $0.65 using 63.2 million shares.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Full Year 2026 Guidance: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Total revenue is expected to be in the range of $1.037 billion to $1.041 billion.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operating margin is expected to be in the range of 3.8% to 4.3%.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operating margin is expected to be in the range of 16.0% to 16.5%.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net income per diluted share is expected to be in the range of $0.89 to $0.99 using 57.1 million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net income per diluted share is expected to be in the range of $2.85 to $2.95 using 62.3 million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Free cash flow margin is expected to be approximately 20%.</w:t>
      </w:r>
    </w:p>
    <w:p>
      <w:pPr>
        <w:pStyle w:val="TextBody"/>
        <w:bidi w:val="0"/>
        <w:spacing w:lineRule="auto" w:line="288" w:before="180" w:after="120"/>
        <w:jc w:val="both"/>
        <w:rPr>
          <w:rFonts w:ascii="Times New Roman;serif" w:hAnsi="Times New Roman;serif"/>
          <w:b/>
          <w:color w:val="000000"/>
          <w:sz w:val="22"/>
          <w:u w:val="single"/>
        </w:rPr>
      </w:pPr>
      <w:r>
        <w:rPr>
          <w:rFonts w:ascii="Times New Roman;serif" w:hAnsi="Times New Roman;serif"/>
          <w:b/>
          <w:color w:val="000000"/>
          <w:sz w:val="22"/>
          <w:u w:val="single"/>
        </w:rPr>
        <w:t>Quarterly Conference Call</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Workiva will host a webcast today at 5:00 p.m. Eastern Time to review the Company’s financial results for the first quarter 2026, in addition to discussing the Company’s outlook for the second quarter and full year 2026. The call can be accessed by dialing 1-833-630-1956 (U.S. domestic) or 1-412-317-1837 (international). Additionally, a live webcast and replay will be available at https://investor.workiva.com/news-events/events. </w:t>
      </w:r>
    </w:p>
    <w:p>
      <w:pPr>
        <w:pStyle w:val="TextBody"/>
        <w:bidi w:val="0"/>
        <w:spacing w:lineRule="auto" w:line="288" w:before="120" w:after="120"/>
        <w:jc w:val="both"/>
        <w:rPr>
          <w:rFonts w:ascii="Times New Roman;serif" w:hAnsi="Times New Roman;serif"/>
          <w:b/>
          <w:color w:val="000000"/>
          <w:sz w:val="22"/>
          <w:u w:val="single"/>
        </w:rPr>
      </w:pPr>
      <w:r>
        <w:rPr>
          <w:rFonts w:ascii="Times New Roman;serif" w:hAnsi="Times New Roman;serif"/>
          <w:b/>
          <w:color w:val="000000"/>
          <w:sz w:val="22"/>
          <w:u w:val="single"/>
        </w:rPr>
        <w:t>About Workiva</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Workiva Inc. (NYSE: WK) powers trust, transparency, and accountability. Accounting, finance, sustainability, risk and audit teams from more than 6,600 organizations, including over 85% of Fortune 1,000 companies rely on Workiva for their mission-critical work. We transform how customers connect data, unify processes, and empower teams in a secure, audit-ready, AI-powered collaborative platform. Learn more at workiva.com.</w:t>
      </w:r>
    </w:p>
    <w:p>
      <w:pPr>
        <w:pStyle w:val="TextBody"/>
        <w:bidi w:val="0"/>
        <w:spacing w:lineRule="auto" w:line="288" w:before="120" w:after="120"/>
        <w:jc w:val="both"/>
        <w:rPr>
          <w:rFonts w:ascii="Times New Roman;serif" w:hAnsi="Times New Roman;serif"/>
          <w:b/>
          <w:color w:val="000000"/>
          <w:sz w:val="22"/>
          <w:u w:val="single"/>
        </w:rPr>
      </w:pPr>
      <w:r>
        <w:rPr>
          <w:rFonts w:ascii="Times New Roman;serif" w:hAnsi="Times New Roman;serif"/>
          <w:b/>
          <w:color w:val="000000"/>
          <w:sz w:val="22"/>
          <w:u w:val="single"/>
        </w:rPr>
        <w:t xml:space="preserve">Non-GAAP Financial Measures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non-GAAP adjustments referenced herein relate to the exclusion of stock-based compensation and amortization of acquisition-related intangible assets. A reconciliation of GAAP to non-GAAP historical financial measures has been provided in Table I at the end of this press release. A reconciliation of GAAP to non-GAAP guidance has been provided in Table II at the end of this press release.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Workiva believes that the use of non-GAAP gross profit, non-GAAP income from operations and non-GAAP operating margin, non-GAAP net income, non-GAAP net income per share, free cash flow and free cash flow margin is helpful to its investors. These measures, which are referred to as non-GAAP financial measures, are not prepared in accordance with generally accepted accounting principles in the United States, or GAAP. Workiva’s management uses these non-GAAP financial measures as tools for financial and operational decision making and for evaluating Workiva’s own operating results over different periods of time.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Non-GAAP gross profit is calculated by excluding stock-based compensation expense and amortization expense for acquisition-related intangible assets attributable to cost of revenues from gross profit. Non-GAAP income from operations is calculated by excluding stock-based compensation expense and amortization expense for acquisition-related intangible assets from loss from operations. Non-GAAP operating margin is the ratio calculated by dividing non-GAAP income from operations by revenues. Non-GAAP net income is calculated by excluding stock-based compensation expense, net of tax and amortization expense for acquisition-related intangible assets from net income (loss). Non-GAAP net income per share is calculated by dividing non-GAAP net income by the weighted- average shares outstanding as presented in the calculation of GAAP net income (loss) per share. Because of varying available valuation methodologies, subjective assumptions and the variety of equity instruments that can impact a company’s non-cash expenses, Workiva believes that providing non-GAAP financial measures that exclude stock-based compensation expense allows for more meaningful comparisons between its operating results from period to period. For business combinations, we generally allocate a portion of the purchase price to intangible assets. The amount of the allocation is based on estimates and assumptions made by management and is subject to amortization. The amount of purchase price allocated to intangible assets and the term of its related amortization can vary significantly and are unique to each acquisition and thus we do not believe they are reflective of ongoing operations.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Free cash flow, a non-GAAP measure, represents cash flow from operating activities less purchase of property and equipment. Free cash flow margin is calculated by dividing free cash flow by total revenue. We consider free cash flow and free cash flow margin to be liquidity measures that provide useful information to investors about the amount of cash generated or used by the business.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Non-GAAP financial measures may not provide information that is directly comparable to that provided by other companies in Workiva’s industry, as other companies in the industry may calculate non-GAAP financial results differently. In addition, there are limitations in using non-GAAP financial measures because the non-GAAP financial measures are not prepared in accordance with GAAP, may be different from non-GAAP financial measures used by other companies and exclude expenses that may have a material impact on Workiva’s reported financial results. Further, stock-based compensation expense has been and will continue to be for the foreseeable future a significant recurring expense in Workiva’s business and an important part of the compensation provided to its employees. The presentation of non-GAAP financial information is not meant to be considered in isolation or as a substitute for the directly comparable financial measures prepared in accordance with GAAP. Investors should review the reconciliation of non-GAAP financial measures to the comparable GAAP financial measures included below, and not rely on any single financial measure to evaluate Workiva’s business.</w:t>
      </w:r>
    </w:p>
    <w:p>
      <w:pPr>
        <w:pStyle w:val="TextBody"/>
        <w:bidi w:val="0"/>
        <w:spacing w:lineRule="auto" w:line="288" w:before="120" w:after="120"/>
        <w:jc w:val="both"/>
        <w:rPr>
          <w:rFonts w:ascii="Times New Roman;serif" w:hAnsi="Times New Roman;serif"/>
          <w:b/>
          <w:color w:val="000000"/>
          <w:sz w:val="22"/>
          <w:u w:val="single"/>
        </w:rPr>
      </w:pPr>
      <w:r>
        <w:rPr>
          <w:rFonts w:ascii="Times New Roman;serif" w:hAnsi="Times New Roman;serif"/>
          <w:b/>
          <w:color w:val="000000"/>
          <w:sz w:val="22"/>
          <w:u w:val="single"/>
        </w:rPr>
        <w:t>Forward-Looking Statements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in this press release are "forward-looking statements" within the meaning of Section 21E of the Securities Exchange Act of 1934, as amended, and are subject to the safe harbor created thereby. These statements relate to future events or the Company’s future financial performance and involve known and unknown risks, uncertainties and other factors that may cause the actual results, levels of activity, performance or achievements of the Company or its industry to be materially different from those expressed or implied by any forward-looking statements. In particular, statements about the Company’s expectations, beliefs, plans, objectives, assumptions, future events or future performance contained in this press release are forward-looking statements. In some cases, forward-looking statements can be identified by terminology such as "may," "will," "could," "would," "should," "expect," "plan," "anticipate," "intend," "believe," "estimate," "predict," "potential," "outlook," "guidance," "target," "goal," "project," "continue to," "confident," or the negative of those terms or other comparable terminology.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Please see the Company’s documents filed or to be filed with the Securities and Exchange Commission, including the Company’s annual reports filed on Form 10-K and quarterly reports on Form 10-Q, and any amendments thereto for a discussion of certain important risk factors that relate to forward-looking statements contained in this report. The Company has based these forward-looking statements on its current expectations, assumptions, estimates and projections. While the Company believes these expectations, assumptions, estimates and projections are reasonable, such forward-looking statements are only predictions and involve known and unknown risks and uncertainties, many of which are beyond the Company’s control. These and other important factors may cause actual results, performance or achievements to differ materially from those expressed or implied by these forward-looking statements. Any forward-looking statements are made only as of the date hereof, and unless otherwise required by applicable securities laws, the Company disclaims any intention or obligation to update or revise any forward-looking statements, whether as a result of new information, future events or otherwise.</w:t>
      </w:r>
    </w:p>
    <w:tbl>
      <w:tblPr>
        <w:tblW w:w="5456" w:type="dxa"/>
        <w:jc w:val="center"/>
        <w:tblInd w:w="0" w:type="dxa"/>
        <w:tblLayout w:type="fixed"/>
        <w:tblCellMar>
          <w:top w:w="28" w:type="dxa"/>
          <w:left w:w="28" w:type="dxa"/>
          <w:bottom w:w="28" w:type="dxa"/>
          <w:right w:w="28" w:type="dxa"/>
        </w:tblCellMar>
      </w:tblPr>
      <w:tblGrid>
        <w:gridCol w:w="124"/>
        <w:gridCol w:w="109"/>
        <w:gridCol w:w="109"/>
        <w:gridCol w:w="764"/>
        <w:gridCol w:w="764"/>
        <w:gridCol w:w="768"/>
        <w:gridCol w:w="140"/>
        <w:gridCol w:w="140"/>
        <w:gridCol w:w="140"/>
        <w:gridCol w:w="718"/>
        <w:gridCol w:w="652"/>
        <w:gridCol w:w="6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Investor Contact: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Katie White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Bill Bode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Workiva Inc.</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Workiva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investor@workiva.com</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press@workiva.com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8586" w:type="dxa"/>
        <w:jc w:val="center"/>
        <w:tblInd w:w="0" w:type="dxa"/>
        <w:tblLayout w:type="fixed"/>
        <w:tblCellMar>
          <w:top w:w="28" w:type="dxa"/>
          <w:left w:w="28" w:type="dxa"/>
          <w:bottom w:w="28" w:type="dxa"/>
          <w:right w:w="28" w:type="dxa"/>
        </w:tblCellMar>
      </w:tblPr>
      <w:tblGrid>
        <w:gridCol w:w="1428"/>
        <w:gridCol w:w="1260"/>
        <w:gridCol w:w="1271"/>
        <w:gridCol w:w="334"/>
        <w:gridCol w:w="1309"/>
        <w:gridCol w:w="172"/>
        <w:gridCol w:w="172"/>
        <w:gridCol w:w="172"/>
        <w:gridCol w:w="172"/>
        <w:gridCol w:w="334"/>
        <w:gridCol w:w="1309"/>
        <w:gridCol w:w="172"/>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STATEMENTS OF OPERATIONS</w:t>
              <w:br/>
              <w:t>(in thousands, except share and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Subscription and support </w:t>
            </w:r>
            <w:r>
              <w:rPr>
                <w:rFonts w:ascii="Times New Roman;serif" w:hAnsi="Times New Roman;serif"/>
                <w:b w:val="false"/>
                <w:color w:val="000000"/>
                <w:sz w:val="13"/>
              </w:rPr>
              <w:t>(1)</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Professional services </w:t>
            </w:r>
            <w:r>
              <w:rPr>
                <w:rFonts w:ascii="Times New Roman;serif" w:hAnsi="Times New Roman;serif"/>
                <w:b w:val="false"/>
                <w:color w:val="000000"/>
                <w:sz w:val="13"/>
              </w:rPr>
              <w:t>(1)</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183,440 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56,885,568 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56,157,533 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58,441,679 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56,157,533 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Includes stock-based compensation expense as follows:</w:t>
      </w:r>
    </w:p>
    <w:tbl>
      <w:tblPr>
        <w:tblW w:w="5520" w:type="dxa"/>
        <w:jc w:val="left"/>
        <w:tblInd w:w="0" w:type="dxa"/>
        <w:tblLayout w:type="fixed"/>
        <w:tblCellMar>
          <w:top w:w="28" w:type="dxa"/>
          <w:left w:w="28" w:type="dxa"/>
          <w:bottom w:w="28" w:type="dxa"/>
          <w:right w:w="28" w:type="dxa"/>
        </w:tblCellMar>
      </w:tblPr>
      <w:tblGrid>
        <w:gridCol w:w="835"/>
        <w:gridCol w:w="736"/>
        <w:gridCol w:w="739"/>
        <w:gridCol w:w="262"/>
        <w:gridCol w:w="765"/>
        <w:gridCol w:w="135"/>
        <w:gridCol w:w="135"/>
        <w:gridCol w:w="135"/>
        <w:gridCol w:w="135"/>
        <w:gridCol w:w="262"/>
        <w:gridCol w:w="765"/>
        <w:gridCol w:w="135"/>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7381" w:type="dxa"/>
        <w:jc w:val="center"/>
        <w:tblInd w:w="0" w:type="dxa"/>
        <w:tblLayout w:type="fixed"/>
        <w:tblCellMar>
          <w:top w:w="28" w:type="dxa"/>
          <w:left w:w="28" w:type="dxa"/>
          <w:bottom w:w="28" w:type="dxa"/>
          <w:right w:w="28" w:type="dxa"/>
        </w:tblCellMar>
      </w:tblPr>
      <w:tblGrid>
        <w:gridCol w:w="1377"/>
        <w:gridCol w:w="1217"/>
        <w:gridCol w:w="1230"/>
        <w:gridCol w:w="234"/>
        <w:gridCol w:w="1085"/>
        <w:gridCol w:w="121"/>
        <w:gridCol w:w="116"/>
        <w:gridCol w:w="116"/>
        <w:gridCol w:w="116"/>
        <w:gridCol w:w="278"/>
        <w:gridCol w:w="1288"/>
        <w:gridCol w:w="203"/>
      </w:tblGrid>
      <w:tr>
        <w:trPr/>
        <w:tc>
          <w:tcPr>
            <w:tcW w:w="137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38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BALANCE SHEETS</w:t>
              <w:br/>
              <w:t>(in thousands)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1,162,385 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741,652 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1,437,993 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(733,852)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48"/>
        <w:gridCol w:w="1902"/>
        <w:gridCol w:w="1916"/>
        <w:gridCol w:w="311"/>
        <w:gridCol w:w="1066"/>
        <w:gridCol w:w="161"/>
        <w:gridCol w:w="161"/>
        <w:gridCol w:w="161"/>
        <w:gridCol w:w="161"/>
        <w:gridCol w:w="311"/>
        <w:gridCol w:w="1160"/>
        <w:gridCol w:w="161"/>
        <w:gridCol w:w="109"/>
        <w:gridCol w:w="109"/>
        <w:gridCol w:w="109"/>
        <w:gridCol w:w="159"/>
      </w:tblGrid>
      <w:tr>
        <w:trPr/>
        <w:tc>
          <w:tcPr>
            <w:tcW w:w="224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STATEMENTS OF CASH FLOWS</w:t>
              <w:br/>
              <w:t>(in thousands)</w:t>
            </w:r>
          </w:p>
        </w:tc>
        <w:tc>
          <w:tcPr>
            <w:tcW w:w="486" w:type="dxa"/>
            <w:gridSpan w:val="4"/>
            <w:tcBorders/>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provision for doubtful accounts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3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30"/>
        <w:gridCol w:w="1825"/>
        <w:gridCol w:w="1837"/>
        <w:gridCol w:w="316"/>
        <w:gridCol w:w="1240"/>
        <w:gridCol w:w="163"/>
        <w:gridCol w:w="163"/>
        <w:gridCol w:w="163"/>
        <w:gridCol w:w="163"/>
        <w:gridCol w:w="316"/>
        <w:gridCol w:w="1240"/>
        <w:gridCol w:w="163"/>
        <w:gridCol w:w="109"/>
        <w:gridCol w:w="109"/>
        <w:gridCol w:w="109"/>
        <w:gridCol w:w="159"/>
      </w:tblGrid>
      <w:tr>
        <w:trPr/>
        <w:tc>
          <w:tcPr>
            <w:tcW w:w="213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STATEMENTS OF CASH FLOWS</w:t>
              <w:br/>
              <w:t>(in thousands)</w:t>
            </w:r>
          </w:p>
        </w:tc>
        <w:tc>
          <w:tcPr>
            <w:tcW w:w="486" w:type="dxa"/>
            <w:gridSpan w:val="4"/>
            <w:tcBorders/>
          </w:tcPr>
          <w:p>
            <w:pPr>
              <w:pStyle w:val="TableContents"/>
              <w:bidi w:val="0"/>
              <w:spacing w:before="0" w:after="283"/>
              <w:jc w:val="left"/>
              <w:rPr>
                <w:sz w:val="4"/>
                <w:szCs w:val="4"/>
              </w:rPr>
            </w:pPr>
            <w:r>
              <w:rPr>
                <w:sz w:val="4"/>
                <w:szCs w:val="4"/>
              </w:rPr>
            </w:r>
          </w:p>
        </w:tc>
      </w:tr>
      <w:tr>
        <w:trPr/>
        <w:tc>
          <w:tcPr>
            <w:tcW w:w="5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44"/>
        <w:gridCol w:w="2237"/>
        <w:gridCol w:w="2247"/>
        <w:gridCol w:w="217"/>
        <w:gridCol w:w="850"/>
        <w:gridCol w:w="111"/>
        <w:gridCol w:w="111"/>
        <w:gridCol w:w="111"/>
        <w:gridCol w:w="111"/>
        <w:gridCol w:w="217"/>
        <w:gridCol w:w="850"/>
        <w:gridCol w:w="111"/>
        <w:gridCol w:w="109"/>
        <w:gridCol w:w="109"/>
        <w:gridCol w:w="109"/>
        <w:gridCol w:w="161"/>
      </w:tblGrid>
      <w:tr>
        <w:trPr/>
        <w:tc>
          <w:tcPr>
            <w:tcW w:w="2544"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period shown in the consolidated statements of cash flows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9473" w:type="dxa"/>
        <w:jc w:val="center"/>
        <w:tblInd w:w="0" w:type="dxa"/>
        <w:tblLayout w:type="fixed"/>
        <w:tblCellMar>
          <w:top w:w="28" w:type="dxa"/>
          <w:left w:w="28" w:type="dxa"/>
          <w:bottom w:w="28" w:type="dxa"/>
          <w:right w:w="28" w:type="dxa"/>
        </w:tblCellMar>
      </w:tblPr>
      <w:tblGrid>
        <w:gridCol w:w="1745"/>
        <w:gridCol w:w="1535"/>
        <w:gridCol w:w="1549"/>
        <w:gridCol w:w="335"/>
        <w:gridCol w:w="1314"/>
        <w:gridCol w:w="173"/>
        <w:gridCol w:w="173"/>
        <w:gridCol w:w="173"/>
        <w:gridCol w:w="173"/>
        <w:gridCol w:w="335"/>
        <w:gridCol w:w="1314"/>
        <w:gridCol w:w="173"/>
        <w:gridCol w:w="109"/>
        <w:gridCol w:w="109"/>
        <w:gridCol w:w="109"/>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I</w:t>
              <w:br/>
              <w:t>WORKIVA INC.</w:t>
              <w:br/>
              <w:t>RECONCILIATION OF NON-GAAP INFORMATION</w:t>
              <w:br/>
              <w:t>(in thousands, except share and per share)</w:t>
            </w:r>
          </w:p>
        </w:tc>
        <w:tc>
          <w:tcPr>
            <w:tcW w:w="481" w:type="dxa"/>
            <w:gridSpan w:val="4"/>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 and support</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190,172 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 and support, non-GAAP</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professional services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professional services, non-GAAP</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non-GAAP</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subscription and support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acquisition-related intangibles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subscription and support, non-GAAP</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professional services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professional services, non-GAAP</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acquisition-related intangibles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non-GAAP</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acquisition-related intangibles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non-GAAP</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non-GAAP</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15"/>
        <w:gridCol w:w="1765"/>
        <w:gridCol w:w="1768"/>
        <w:gridCol w:w="315"/>
        <w:gridCol w:w="1072"/>
        <w:gridCol w:w="402"/>
        <w:gridCol w:w="161"/>
        <w:gridCol w:w="161"/>
        <w:gridCol w:w="161"/>
        <w:gridCol w:w="315"/>
        <w:gridCol w:w="1181"/>
        <w:gridCol w:w="402"/>
        <w:gridCol w:w="109"/>
        <w:gridCol w:w="109"/>
        <w:gridCol w:w="109"/>
        <w:gridCol w:w="160"/>
      </w:tblGrid>
      <w:tr>
        <w:trPr/>
        <w:tc>
          <w:tcPr>
            <w:tcW w:w="201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I</w:t>
              <w:br/>
              <w:t>WORKIVA INC.</w:t>
              <w:br/>
              <w:t>RECONCILIATION OF NON-GAAP INFORMATION</w:t>
              <w:br/>
              <w:t>(in thousands, except share and per share)</w:t>
            </w:r>
          </w:p>
        </w:tc>
        <w:tc>
          <w:tcPr>
            <w:tcW w:w="487" w:type="dxa"/>
            <w:gridSpan w:val="4"/>
            <w:tcBorders/>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 non-GAAP</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45,415 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3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non-GAAP</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49,090 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basic share</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basic share, non-GAAP</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diluted share</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non-GAAP</w:t>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58,441,679 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56,157,533 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 non-GAAP</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63,684,917 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58,480,150 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25,748 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 margin</w:t>
            </w:r>
          </w:p>
        </w:tc>
        <w:tc>
          <w:tcPr>
            <w:tcW w:w="13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27"/>
        <w:gridCol w:w="990"/>
        <w:gridCol w:w="993"/>
        <w:gridCol w:w="315"/>
        <w:gridCol w:w="766"/>
        <w:gridCol w:w="301"/>
        <w:gridCol w:w="121"/>
        <w:gridCol w:w="121"/>
        <w:gridCol w:w="121"/>
        <w:gridCol w:w="315"/>
        <w:gridCol w:w="766"/>
        <w:gridCol w:w="301"/>
        <w:gridCol w:w="109"/>
        <w:gridCol w:w="109"/>
        <w:gridCol w:w="109"/>
        <w:gridCol w:w="315"/>
        <w:gridCol w:w="766"/>
        <w:gridCol w:w="289"/>
        <w:gridCol w:w="116"/>
        <w:gridCol w:w="116"/>
        <w:gridCol w:w="116"/>
        <w:gridCol w:w="315"/>
        <w:gridCol w:w="766"/>
        <w:gridCol w:w="342"/>
      </w:tblGrid>
      <w:tr>
        <w:trPr/>
        <w:tc>
          <w:tcPr>
            <w:tcW w:w="1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II</w:t>
              <w:br/>
              <w:t>WORKIVA INC.</w:t>
              <w:br/>
              <w:t>RECONCILIATION OF NON-GAAP GUIDANCE</w:t>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ending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ending December 31, 2026</w:t>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GAAP</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non-GAAP</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in calculating GAAP earnings per share,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57,000,000 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57,000,000 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57,100,000 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57,100,000 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in calculating non-GAAP earnings per share,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62,300,000 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62,300,000 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3963</Words>
  <Characters>22641</Characters>
  <CharactersWithSpaces>26084</CharactersWithSpaces>
  <Paragraphs>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