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7)*</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Workiva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98139A105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3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50" w:lineRule="exact"/>
        <w:rPr>
          <w:sz w:val="24"/>
          <w:szCs w:val="24"/>
          <w:color w:val="auto"/>
        </w:rPr>
      </w:pPr>
    </w:p>
    <w:p>
      <w:pPr>
        <w:ind w:left="1260" w:hanging="68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ind w:left="1260" w:hanging="68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3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003" w:right="379" w:bottom="1440" w:gutter="0" w:footer="0" w:header="0"/>
        </w:sectPr>
      </w:pPr>
    </w:p>
    <w:bookmarkStart w:id="1" w:name="page2"/>
    <w:bookmarkEnd w:id="1"/>
    <w:p>
      <w:pPr>
        <w:ind w:left="12"/>
        <w:spacing w:after="0"/>
        <w:rPr>
          <w:sz w:val="20"/>
          <w:szCs w:val="20"/>
          <w:color w:val="auto"/>
        </w:rPr>
      </w:pPr>
      <w:r>
        <w:rPr>
          <w:rFonts w:ascii="Arial" w:cs="Arial" w:eastAsia="Arial" w:hAnsi="Arial"/>
          <w:sz w:val="18"/>
          <w:szCs w:val="18"/>
          <w:color w:val="auto"/>
        </w:rPr>
        <w:t>CUSIP No. 98139A105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557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46" w:lineRule="exact"/>
        <w:rPr>
          <w:sz w:val="20"/>
          <w:szCs w:val="20"/>
          <w:color w:val="auto"/>
        </w:rPr>
      </w:pPr>
    </w:p>
    <w:p>
      <w:pPr>
        <w:ind w:left="892" w:right="8340" w:hanging="537"/>
        <w:spacing w:after="0" w:line="289" w:lineRule="auto"/>
        <w:tabs>
          <w:tab w:leader="none" w:pos="892"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Martin J. Vanderploeg</w:t>
      </w:r>
    </w:p>
    <w:p>
      <w:pPr>
        <w:spacing w:after="0" w:line="191" w:lineRule="exact"/>
        <w:rPr>
          <w:rFonts w:ascii="Arial" w:cs="Arial" w:eastAsia="Arial" w:hAnsi="Arial"/>
          <w:sz w:val="16"/>
          <w:szCs w:val="16"/>
          <w:color w:val="auto"/>
        </w:rPr>
      </w:pPr>
    </w:p>
    <w:p>
      <w:pPr>
        <w:ind w:left="892" w:hanging="537"/>
        <w:spacing w:after="0"/>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-276225</wp:posOffset>
            </wp:positionV>
            <wp:extent cx="6000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 w:lineRule="exact"/>
        <w:rPr>
          <w:sz w:val="20"/>
          <w:szCs w:val="20"/>
          <w:color w:val="auto"/>
        </w:rPr>
      </w:pPr>
    </w:p>
    <w:tbl>
      <w:tblPr>
        <w:tblLayout w:type="fixed"/>
        <w:tblInd w:w="892"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8"/>
                <w:szCs w:val="18"/>
                <w:color w:val="auto"/>
              </w:rPr>
              <w:t>(a)</w:t>
            </w: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w:t>
            </w:r>
          </w:p>
        </w:tc>
      </w:t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(b)</w:t>
            </w: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w:t>
            </w:r>
          </w:p>
        </w:tc>
      </w:tr>
    </w:tbl>
    <w:p>
      <w:pPr>
        <w:spacing w:after="0" w:line="215" w:lineRule="exact"/>
        <w:rPr>
          <w:sz w:val="20"/>
          <w:szCs w:val="20"/>
          <w:color w:val="auto"/>
        </w:rPr>
      </w:pPr>
    </w:p>
    <w:p>
      <w:pPr>
        <w:ind w:left="892" w:hanging="537"/>
        <w:spacing w:after="0"/>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92" w:right="7640" w:hanging="537"/>
        <w:spacing w:after="0" w:line="289" w:lineRule="auto"/>
        <w:tabs>
          <w:tab w:leader="none" w:pos="892"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31" w:lineRule="exact"/>
        <w:rPr>
          <w:rFonts w:ascii="Arial" w:cs="Arial" w:eastAsia="Arial" w:hAnsi="Arial"/>
          <w:sz w:val="16"/>
          <w:szCs w:val="16"/>
          <w:color w:val="auto"/>
        </w:rPr>
      </w:pPr>
    </w:p>
    <w:p>
      <w:pPr>
        <w:ind w:left="3332" w:right="6480" w:hanging="1073"/>
        <w:spacing w:after="0" w:line="289" w:lineRule="auto"/>
        <w:tabs>
          <w:tab w:leader="none" w:pos="3332" w:val="left"/>
        </w:tabs>
        <w:numPr>
          <w:ilvl w:val="1"/>
          <w:numId w:val="3"/>
        </w:numPr>
        <w:rPr>
          <w:rFonts w:ascii="Arial" w:cs="Arial" w:eastAsia="Arial" w:hAnsi="Arial"/>
          <w:sz w:val="16"/>
          <w:szCs w:val="16"/>
          <w:color w:val="auto"/>
        </w:rPr>
      </w:pPr>
      <w:r>
        <w:rPr>
          <w:rFonts w:ascii="Arial" w:cs="Arial" w:eastAsia="Arial" w:hAnsi="Arial"/>
          <w:sz w:val="16"/>
          <w:szCs w:val="16"/>
          <w:color w:val="auto"/>
        </w:rPr>
        <w:t>Sole Voting Power: 1,819,313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-22860</wp:posOffset>
            </wp:positionV>
            <wp:extent cx="4448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-451485</wp:posOffset>
            </wp:positionV>
            <wp:extent cx="5134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3461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-854710</wp:posOffset>
            </wp:positionV>
            <wp:extent cx="6000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87"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rPr>
              <w:t>Number of</w:t>
            </w:r>
          </w:p>
        </w:tc>
        <w:tc>
          <w:tcPr>
            <w:tcW w:w="1740" w:type="dxa"/>
            <w:vAlign w:val="bottom"/>
            <w:vMerge w:val="restart"/>
          </w:tcPr>
          <w:p>
            <w:pPr>
              <w:jc w:val="right"/>
              <w:ind w:right="830"/>
              <w:spacing w:after="0"/>
              <w:rPr>
                <w:sz w:val="20"/>
                <w:szCs w:val="20"/>
                <w:color w:val="auto"/>
              </w:rPr>
            </w:pPr>
            <w:r>
              <w:rPr>
                <w:rFonts w:ascii="Arial" w:cs="Arial" w:eastAsia="Arial" w:hAnsi="Arial"/>
                <w:sz w:val="18"/>
                <w:szCs w:val="18"/>
                <w:color w:val="auto"/>
              </w:rPr>
              <w:t>6.</w:t>
            </w:r>
          </w:p>
        </w:tc>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560" w:type="dxa"/>
            <w:vAlign w:val="bottom"/>
            <w:vMerge w:val="restart"/>
          </w:tcPr>
          <w:p>
            <w:pPr>
              <w:spacing w:after="0" w:line="176" w:lineRule="exact"/>
              <w:rPr>
                <w:sz w:val="20"/>
                <w:szCs w:val="20"/>
                <w:color w:val="auto"/>
              </w:rPr>
            </w:pPr>
            <w:r>
              <w:rPr>
                <w:rFonts w:ascii="Arial" w:cs="Arial" w:eastAsia="Arial" w:hAnsi="Arial"/>
                <w:sz w:val="18"/>
                <w:szCs w:val="18"/>
                <w:color w:val="auto"/>
              </w:rPr>
              <w:t>Shares</w:t>
            </w:r>
          </w:p>
        </w:tc>
        <w:tc>
          <w:tcPr>
            <w:tcW w:w="1740" w:type="dxa"/>
            <w:vAlign w:val="bottom"/>
            <w:vMerge w:val="continue"/>
          </w:tcPr>
          <w:p>
            <w:pPr>
              <w:spacing w:after="0"/>
              <w:rPr>
                <w:sz w:val="9"/>
                <w:szCs w:val="9"/>
                <w:color w:val="auto"/>
              </w:rPr>
            </w:pPr>
          </w:p>
        </w:tc>
        <w:tc>
          <w:tcPr>
            <w:tcW w:w="7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560" w:type="dxa"/>
            <w:vAlign w:val="bottom"/>
          </w:tcPr>
          <w:p>
            <w:pPr>
              <w:spacing w:after="0" w:line="156" w:lineRule="exact"/>
              <w:rPr>
                <w:sz w:val="20"/>
                <w:szCs w:val="20"/>
                <w:color w:val="auto"/>
              </w:rPr>
            </w:pPr>
            <w:r>
              <w:rPr>
                <w:rFonts w:ascii="Arial" w:cs="Arial" w:eastAsia="Arial" w:hAnsi="Arial"/>
                <w:sz w:val="18"/>
                <w:szCs w:val="18"/>
                <w:color w:val="auto"/>
              </w:rPr>
              <w:t>Beneficially</w:t>
            </w:r>
          </w:p>
        </w:tc>
        <w:tc>
          <w:tcPr>
            <w:tcW w:w="1740" w:type="dxa"/>
            <w:vAlign w:val="bottom"/>
          </w:tcPr>
          <w:p>
            <w:pPr>
              <w:spacing w:after="0"/>
              <w:rPr>
                <w:sz w:val="14"/>
                <w:szCs w:val="14"/>
                <w:color w:val="auto"/>
              </w:rPr>
            </w:pPr>
          </w:p>
        </w:tc>
        <w:tc>
          <w:tcPr>
            <w:tcW w:w="7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8"/>
                <w:szCs w:val="18"/>
                <w:color w:val="auto"/>
              </w:rPr>
              <w:t>Owned by</w:t>
            </w:r>
          </w:p>
        </w:tc>
        <w:tc>
          <w:tcPr>
            <w:tcW w:w="17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line="176" w:lineRule="exact"/>
              <w:rPr>
                <w:sz w:val="20"/>
                <w:szCs w:val="20"/>
                <w:color w:val="auto"/>
              </w:rPr>
            </w:pPr>
            <w:r>
              <w:rPr>
                <w:rFonts w:ascii="Arial" w:cs="Arial" w:eastAsia="Arial" w:hAnsi="Arial"/>
                <w:sz w:val="18"/>
                <w:szCs w:val="18"/>
                <w:color w:val="auto"/>
              </w:rPr>
              <w:t>Each</w:t>
            </w:r>
          </w:p>
        </w:tc>
        <w:tc>
          <w:tcPr>
            <w:tcW w:w="1740" w:type="dxa"/>
            <w:vAlign w:val="bottom"/>
            <w:vMerge w:val="restart"/>
          </w:tcPr>
          <w:p>
            <w:pPr>
              <w:jc w:val="right"/>
              <w:ind w:right="830"/>
              <w:spacing w:after="0"/>
              <w:rPr>
                <w:sz w:val="20"/>
                <w:szCs w:val="20"/>
                <w:color w:val="auto"/>
              </w:rPr>
            </w:pPr>
            <w:r>
              <w:rPr>
                <w:rFonts w:ascii="Arial" w:cs="Arial" w:eastAsia="Arial" w:hAnsi="Arial"/>
                <w:sz w:val="18"/>
                <w:szCs w:val="18"/>
                <w:color w:val="auto"/>
              </w:rPr>
              <w:t>7.</w:t>
            </w:r>
          </w:p>
        </w:tc>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560" w:type="dxa"/>
            <w:vAlign w:val="bottom"/>
          </w:tcPr>
          <w:p>
            <w:pPr>
              <w:spacing w:after="0" w:line="110" w:lineRule="exact"/>
              <w:rPr>
                <w:sz w:val="20"/>
                <w:szCs w:val="20"/>
                <w:color w:val="auto"/>
              </w:rPr>
            </w:pPr>
            <w:r>
              <w:rPr>
                <w:rFonts w:ascii="Arial" w:cs="Arial" w:eastAsia="Arial" w:hAnsi="Arial"/>
                <w:sz w:val="12"/>
                <w:szCs w:val="12"/>
                <w:color w:val="auto"/>
              </w:rPr>
              <w:t>Reporting</w:t>
            </w:r>
          </w:p>
        </w:tc>
        <w:tc>
          <w:tcPr>
            <w:tcW w:w="1740" w:type="dxa"/>
            <w:vAlign w:val="bottom"/>
            <w:vMerge w:val="continue"/>
          </w:tcPr>
          <w:p>
            <w:pPr>
              <w:spacing w:after="0"/>
              <w:rPr>
                <w:sz w:val="12"/>
                <w:szCs w:val="12"/>
                <w:color w:val="auto"/>
              </w:rPr>
            </w:pPr>
          </w:p>
        </w:tc>
        <w:tc>
          <w:tcPr>
            <w:tcW w:w="7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214"/>
        </w:trPr>
        <w:tc>
          <w:tcPr>
            <w:tcW w:w="33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020" w:type="dxa"/>
            <w:vAlign w:val="bottom"/>
            <w:tcBorders>
              <w:bottom w:val="single" w:sz="8" w:color="auto"/>
            </w:tcBorders>
          </w:tcPr>
          <w:p>
            <w:pPr>
              <w:jc w:val="right"/>
              <w:ind w:right="5710"/>
              <w:spacing w:after="0"/>
              <w:rPr>
                <w:sz w:val="20"/>
                <w:szCs w:val="20"/>
                <w:color w:val="auto"/>
              </w:rPr>
            </w:pPr>
            <w:r>
              <w:rPr>
                <w:rFonts w:ascii="Arial" w:cs="Arial" w:eastAsia="Arial" w:hAnsi="Arial"/>
                <w:sz w:val="18"/>
                <w:szCs w:val="18"/>
                <w:color w:val="auto"/>
                <w:w w:val="92"/>
              </w:rPr>
              <w:t>1,541,598 (1)(2)</w:t>
            </w:r>
          </w:p>
        </w:tc>
        <w:tc>
          <w:tcPr>
            <w:tcW w:w="0" w:type="dxa"/>
            <w:vAlign w:val="bottom"/>
          </w:tcPr>
          <w:p>
            <w:pPr>
              <w:spacing w:after="0"/>
              <w:rPr>
                <w:sz w:val="1"/>
                <w:szCs w:val="1"/>
                <w:color w:val="auto"/>
              </w:rPr>
            </w:pPr>
          </w:p>
        </w:tc>
      </w:tr>
      <w:tr>
        <w:trPr>
          <w:trHeight w:val="61"/>
        </w:trPr>
        <w:tc>
          <w:tcPr>
            <w:tcW w:w="3300" w:type="dxa"/>
            <w:vAlign w:val="bottom"/>
            <w:vMerge w:val="continue"/>
          </w:tcPr>
          <w:p>
            <w:pPr>
              <w:spacing w:after="0"/>
              <w:rPr>
                <w:sz w:val="5"/>
                <w:szCs w:val="5"/>
                <w:color w:val="auto"/>
              </w:rPr>
            </w:pPr>
          </w:p>
        </w:tc>
        <w:tc>
          <w:tcPr>
            <w:tcW w:w="7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32" w:right="5960" w:hanging="1073"/>
        <w:spacing w:after="0" w:line="235" w:lineRule="auto"/>
        <w:tabs>
          <w:tab w:leader="none" w:pos="3332"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13" w:lineRule="exact"/>
        <w:rPr>
          <w:rFonts w:ascii="Arial" w:cs="Arial" w:eastAsia="Arial" w:hAnsi="Arial"/>
          <w:sz w:val="18"/>
          <w:szCs w:val="18"/>
          <w:color w:val="auto"/>
        </w:rPr>
      </w:pPr>
    </w:p>
    <w:p>
      <w:pPr>
        <w:ind w:left="892" w:hanging="537"/>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ind w:left="892"/>
        <w:spacing w:after="0"/>
        <w:rPr>
          <w:rFonts w:ascii="Arial" w:cs="Arial" w:eastAsia="Arial" w:hAnsi="Arial"/>
          <w:sz w:val="18"/>
          <w:szCs w:val="18"/>
          <w:color w:val="auto"/>
        </w:rPr>
      </w:pPr>
      <w:r>
        <w:rPr>
          <w:rFonts w:ascii="Arial" w:cs="Arial" w:eastAsia="Arial" w:hAnsi="Arial"/>
          <w:sz w:val="18"/>
          <w:szCs w:val="18"/>
          <w:color w:val="auto"/>
        </w:rPr>
        <w:t>1,819,313 (1)(2)</w:t>
      </w:r>
    </w:p>
    <w:p>
      <w:pPr>
        <w:spacing w:after="0" w:line="236" w:lineRule="exact"/>
        <w:rPr>
          <w:rFonts w:ascii="Arial" w:cs="Arial" w:eastAsia="Arial" w:hAnsi="Arial"/>
          <w:sz w:val="18"/>
          <w:szCs w:val="18"/>
          <w:color w:val="auto"/>
        </w:rPr>
      </w:pPr>
    </w:p>
    <w:p>
      <w:pPr>
        <w:ind w:left="892" w:hanging="537"/>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36" w:lineRule="exact"/>
        <w:rPr>
          <w:rFonts w:ascii="Arial" w:cs="Arial" w:eastAsia="Arial" w:hAnsi="Arial"/>
          <w:sz w:val="18"/>
          <w:szCs w:val="18"/>
          <w:color w:val="auto"/>
        </w:rPr>
      </w:pPr>
    </w:p>
    <w:p>
      <w:pPr>
        <w:ind w:left="892" w:hanging="537"/>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ind w:left="892"/>
        <w:spacing w:after="0"/>
        <w:rPr>
          <w:rFonts w:ascii="Arial" w:cs="Arial" w:eastAsia="Arial" w:hAnsi="Arial"/>
          <w:sz w:val="18"/>
          <w:szCs w:val="18"/>
          <w:color w:val="auto"/>
        </w:rPr>
      </w:pPr>
      <w:r>
        <w:rPr>
          <w:rFonts w:ascii="Arial" w:cs="Arial" w:eastAsia="Arial" w:hAnsi="Arial"/>
          <w:sz w:val="18"/>
          <w:szCs w:val="18"/>
          <w:color w:val="auto"/>
        </w:rPr>
        <w:t>3.7% (1)(3)</w:t>
      </w:r>
    </w:p>
    <w:p>
      <w:pPr>
        <w:spacing w:after="0" w:line="220" w:lineRule="exact"/>
        <w:rPr>
          <w:rFonts w:ascii="Arial" w:cs="Arial" w:eastAsia="Arial" w:hAnsi="Arial"/>
          <w:sz w:val="18"/>
          <w:szCs w:val="18"/>
          <w:color w:val="auto"/>
        </w:rPr>
      </w:pPr>
    </w:p>
    <w:p>
      <w:pPr>
        <w:ind w:left="892" w:hanging="537"/>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ind w:left="89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17" w:lineRule="exact"/>
        <w:rPr>
          <w:rFonts w:ascii="Arial" w:cs="Arial" w:eastAsia="Arial" w:hAnsi="Arial"/>
          <w:sz w:val="18"/>
          <w:szCs w:val="18"/>
          <w:color w:val="auto"/>
        </w:rPr>
      </w:pPr>
    </w:p>
    <w:p>
      <w:pPr>
        <w:ind w:left="732" w:right="80" w:hanging="732"/>
        <w:spacing w:after="0" w:line="263" w:lineRule="auto"/>
        <w:tabs>
          <w:tab w:leader="none" w:pos="393"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owned include Class B common stock, as described below. Each share of Class B common stock is convertible at the option of the holder into one share of Class A common stock. Assumes conversion of all shares of Class B common stock beneficially owned by Mr. Vanderploeg into shares of Class A common stock.</w:t>
      </w:r>
    </w:p>
    <w:p>
      <w:pPr>
        <w:spacing w:after="0" w:line="210" w:lineRule="exact"/>
        <w:rPr>
          <w:rFonts w:ascii="Arial" w:cs="Arial" w:eastAsia="Arial" w:hAnsi="Arial"/>
          <w:sz w:val="18"/>
          <w:szCs w:val="18"/>
          <w:color w:val="auto"/>
        </w:rPr>
      </w:pPr>
    </w:p>
    <w:p>
      <w:pPr>
        <w:ind w:left="732" w:hanging="732"/>
        <w:spacing w:after="0" w:line="272" w:lineRule="auto"/>
        <w:tabs>
          <w:tab w:leader="none" w:pos="393" w:val="left"/>
        </w:tabs>
        <w:numPr>
          <w:ilvl w:val="0"/>
          <w:numId w:val="6"/>
        </w:numPr>
        <w:rPr>
          <w:rFonts w:ascii="Arial" w:cs="Arial" w:eastAsia="Arial" w:hAnsi="Arial"/>
          <w:sz w:val="17"/>
          <w:szCs w:val="17"/>
          <w:color w:val="auto"/>
        </w:rPr>
      </w:pPr>
      <w:r>
        <w:rPr>
          <w:rFonts w:ascii="Arial" w:cs="Arial" w:eastAsia="Arial" w:hAnsi="Arial"/>
          <w:sz w:val="17"/>
          <w:szCs w:val="17"/>
          <w:color w:val="auto"/>
        </w:rPr>
        <w:t>Shares owned consist of (i) 328,402 shares of Class B common stock owned by the Jeffrey Dean Trom Charitable Remainder Trust, of which Mr. Vanderploeg is trustee; (ii) 502,275 shares of Class A common stock that may be acquired within 60 days of this statement upon the exercise of outstanding options; (iii) 710,562 shares of Class B common stock and 359 shares of Class A common stock owned by the Martin J. Vanderploeg 2001 Revocable Living Trust, of which Mr. Vanderploeg is trustee; and (iv) 225,240 shares of Class B common stock and 52,475 shares of Class A common stock owned by LAURA C WILLIAMS TR UA 05/02/2001, of which Laura Williams is the trustee and has entered into an irrevocable proxy under which she has granted sole voting power to Mr. Vanderploeg for so long as the trust holds such shares. Ms. Williams has sole dispositive power as to such shares.</w:t>
      </w:r>
    </w:p>
    <w:p>
      <w:pPr>
        <w:spacing w:after="0" w:line="204" w:lineRule="exact"/>
        <w:rPr>
          <w:rFonts w:ascii="Arial" w:cs="Arial" w:eastAsia="Arial" w:hAnsi="Arial"/>
          <w:sz w:val="17"/>
          <w:szCs w:val="17"/>
          <w:color w:val="auto"/>
        </w:rPr>
      </w:pPr>
    </w:p>
    <w:p>
      <w:pPr>
        <w:ind w:left="732" w:right="220" w:hanging="732"/>
        <w:spacing w:after="0" w:line="301" w:lineRule="auto"/>
        <w:tabs>
          <w:tab w:leader="none" w:pos="393"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46,822,215 shares of Class A common stock outstanding as of November 18, 2021, plus the number of shares of Class B common stock beneficially owned by Mr. Vanderploeg, shares of Class A common stock that may be acquired by Mr. Vanderploeg within 60 days upon the exercise of outstanding options, which are treated as converted into Class A common stock or exercised, as applicable, only for the purpose of computing the percentage ownership of Mr. Vanderploeg. Each share of Class A common stock is entitled to one vote, and each share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-2462530</wp:posOffset>
            </wp:positionV>
            <wp:extent cx="6000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-2865120</wp:posOffset>
            </wp:positionV>
            <wp:extent cx="6000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-3268345</wp:posOffset>
            </wp:positionV>
            <wp:extent cx="6000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-3559810</wp:posOffset>
            </wp:positionV>
            <wp:extent cx="6000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-3962400</wp:posOffset>
            </wp:positionV>
            <wp:extent cx="4448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ectPr>
          <w:pgSz w:w="11900" w:h="16838" w:orient="portrait"/>
          <w:cols w:equalWidth="0" w:num="1">
            <w:col w:w="11212"/>
          </w:cols>
          <w:pgMar w:left="328" w:top="935"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12"/>
          </w:cols>
          <w:pgMar w:left="328" w:top="935" w:right="359" w:bottom="1440" w:gutter="0" w:footer="0" w:header="0"/>
          <w:type w:val="continuous"/>
        </w:sectPr>
      </w:pPr>
    </w:p>
    <w:bookmarkStart w:id="2" w:name="page3"/>
    <w:bookmarkEnd w:id="2"/>
    <w:p>
      <w:pPr>
        <w:ind w:left="720"/>
        <w:spacing w:after="0" w:line="263" w:lineRule="auto"/>
        <w:rPr>
          <w:sz w:val="20"/>
          <w:szCs w:val="20"/>
          <w:color w:val="auto"/>
        </w:rPr>
      </w:pPr>
      <w:r>
        <w:rPr>
          <w:rFonts w:ascii="Arial" w:cs="Arial" w:eastAsia="Arial" w:hAnsi="Arial"/>
          <w:sz w:val="18"/>
          <w:szCs w:val="18"/>
          <w:color w:val="auto"/>
        </w:rPr>
        <w:t>B common stock is entitled to ten votes. There were 4,150,583 shares of Class B common stock outstanding as of November 18, 2021, as reported by the issuer to the reporting person, including the 1,264,204 shares of Class B common stock beneficially owned by Mr. Vanderploeg. The percentage reported does not reflect the ten for one voting power of the Class B common stock.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81" w:lineRule="exact"/>
        <w:rPr>
          <w:sz w:val="20"/>
          <w:szCs w:val="20"/>
          <w:color w:val="auto"/>
        </w:rPr>
      </w:pPr>
    </w:p>
    <w:p>
      <w:pPr>
        <w:ind w:left="1700" w:right="8220" w:hanging="655"/>
        <w:spacing w:after="0" w:line="264" w:lineRule="auto"/>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Issuer: Workiva Inc.</w:t>
      </w:r>
    </w:p>
    <w:p>
      <w:pPr>
        <w:spacing w:after="0" w:line="13" w:lineRule="exact"/>
        <w:rPr>
          <w:rFonts w:ascii="Arial" w:cs="Arial" w:eastAsia="Arial" w:hAnsi="Arial"/>
          <w:sz w:val="16"/>
          <w:szCs w:val="16"/>
          <w:color w:val="auto"/>
        </w:rPr>
      </w:pPr>
    </w:p>
    <w:p>
      <w:pPr>
        <w:ind w:left="1700" w:right="5900" w:hanging="655"/>
        <w:spacing w:after="0" w:line="212"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2900 University Blvd</w:t>
      </w:r>
    </w:p>
    <w:p>
      <w:pPr>
        <w:spacing w:after="0" w:line="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Ames, IA 50010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4445</wp:posOffset>
            </wp:positionV>
            <wp:extent cx="6035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-372110</wp:posOffset>
            </wp:positionV>
            <wp:extent cx="6035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81" w:lineRule="exact"/>
        <w:rPr>
          <w:sz w:val="20"/>
          <w:szCs w:val="20"/>
          <w:color w:val="auto"/>
        </w:rPr>
      </w:pPr>
    </w:p>
    <w:p>
      <w:pPr>
        <w:ind w:left="1700" w:right="7680" w:hanging="655"/>
        <w:spacing w:after="0" w:line="264"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 of Person Filing: Martin J. Vanderploeg</w:t>
      </w:r>
    </w:p>
    <w:p>
      <w:pPr>
        <w:spacing w:after="0" w:line="13" w:lineRule="exact"/>
        <w:rPr>
          <w:rFonts w:ascii="Arial" w:cs="Arial" w:eastAsia="Arial" w:hAnsi="Arial"/>
          <w:sz w:val="16"/>
          <w:szCs w:val="16"/>
          <w:color w:val="auto"/>
        </w:rPr>
      </w:pPr>
    </w:p>
    <w:p>
      <w:pPr>
        <w:ind w:left="1700" w:right="5040" w:hanging="655"/>
        <w:spacing w:after="0" w:line="212"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c/o Workiva Inc.</w:t>
      </w:r>
    </w:p>
    <w:p>
      <w:pPr>
        <w:spacing w:after="0" w:line="1" w:lineRule="exact"/>
        <w:rPr>
          <w:rFonts w:ascii="Arial" w:cs="Arial" w:eastAsia="Arial" w:hAnsi="Arial"/>
          <w:sz w:val="18"/>
          <w:szCs w:val="18"/>
          <w:color w:val="auto"/>
        </w:rPr>
      </w:pPr>
    </w:p>
    <w:p>
      <w:pPr>
        <w:ind w:left="1700" w:right="7820"/>
        <w:spacing w:after="0" w:line="239" w:lineRule="auto"/>
        <w:rPr>
          <w:rFonts w:ascii="Arial" w:cs="Arial" w:eastAsia="Arial" w:hAnsi="Arial"/>
          <w:sz w:val="18"/>
          <w:szCs w:val="18"/>
          <w:color w:val="auto"/>
        </w:rPr>
      </w:pPr>
      <w:r>
        <w:rPr>
          <w:rFonts w:ascii="Arial" w:cs="Arial" w:eastAsia="Arial" w:hAnsi="Arial"/>
          <w:sz w:val="17"/>
          <w:szCs w:val="17"/>
          <w:color w:val="auto"/>
        </w:rPr>
        <w:t>2900 University Blvd Ames, IA 50010</w:t>
      </w:r>
    </w:p>
    <w:p>
      <w:pPr>
        <w:ind w:left="1700" w:hanging="655"/>
        <w:spacing w:after="0" w:line="236"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ind w:left="170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20" w:lineRule="exact"/>
        <w:rPr>
          <w:rFonts w:ascii="Arial" w:cs="Arial" w:eastAsia="Arial" w:hAnsi="Arial"/>
          <w:sz w:val="18"/>
          <w:szCs w:val="18"/>
          <w:color w:val="auto"/>
        </w:rPr>
      </w:pPr>
    </w:p>
    <w:p>
      <w:pPr>
        <w:ind w:left="1700" w:right="7420" w:hanging="655"/>
        <w:spacing w:after="0" w:line="264"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Class A Common Stock</w:t>
      </w:r>
    </w:p>
    <w:p>
      <w:pPr>
        <w:spacing w:after="0" w:line="13" w:lineRule="exact"/>
        <w:rPr>
          <w:rFonts w:ascii="Arial" w:cs="Arial" w:eastAsia="Arial" w:hAnsi="Arial"/>
          <w:sz w:val="16"/>
          <w:szCs w:val="16"/>
          <w:color w:val="auto"/>
        </w:rPr>
      </w:pPr>
    </w:p>
    <w:p>
      <w:pPr>
        <w:ind w:left="1700" w:right="8180" w:hanging="655"/>
        <w:spacing w:after="0" w:line="289"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98139A105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-22860</wp:posOffset>
            </wp:positionV>
            <wp:extent cx="6035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-288925</wp:posOffset>
            </wp:positionV>
            <wp:extent cx="6035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-554355</wp:posOffset>
            </wp:positionV>
            <wp:extent cx="6035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-820420</wp:posOffset>
            </wp:positionV>
            <wp:extent cx="6035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-1308735</wp:posOffset>
            </wp:positionV>
            <wp:extent cx="6035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81" w:lineRule="exact"/>
        <w:rPr>
          <w:sz w:val="20"/>
          <w:szCs w:val="20"/>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78c).</w:t>
      </w:r>
    </w:p>
    <w:p>
      <w:pPr>
        <w:spacing w:after="0" w:line="76"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 (6) of the Act (15 U.S.C 78c).</w:t>
      </w:r>
    </w:p>
    <w:p>
      <w:pPr>
        <w:spacing w:after="0" w:line="76"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 (19) of the Act (15 U.S.C 78c).</w:t>
      </w:r>
    </w:p>
    <w:p>
      <w:pPr>
        <w:spacing w:after="0" w:line="76"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76"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adviser in accordance with SS 240. 13d-1(b) (1) (ii) (E);</w:t>
      </w:r>
    </w:p>
    <w:p>
      <w:pPr>
        <w:spacing w:after="0" w:line="76"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Employee benefit plan or endowment fund in accordance with SS 240. 13d-1(b) (ii) (F);</w:t>
      </w:r>
    </w:p>
    <w:p>
      <w:pPr>
        <w:spacing w:after="0" w:line="76"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Parent holding company or control person in accordance with SS.SS.240. 13d-1(b) (ii) (G);</w:t>
      </w:r>
    </w:p>
    <w:p>
      <w:pPr>
        <w:spacing w:after="0" w:line="76"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76" w:lineRule="exact"/>
        <w:rPr>
          <w:rFonts w:ascii="Arial" w:cs="Arial" w:eastAsia="Arial" w:hAnsi="Arial"/>
          <w:sz w:val="18"/>
          <w:szCs w:val="18"/>
          <w:color w:val="auto"/>
        </w:rPr>
      </w:pPr>
    </w:p>
    <w:p>
      <w:pPr>
        <w:ind w:left="2360" w:right="180" w:hanging="1315"/>
        <w:spacing w:after="0" w:line="235" w:lineRule="auto"/>
        <w:tabs>
          <w:tab w:leader="none" w:pos="1699"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 (14) of the Investment Company Act of 1940 (15 U.S.C 80a-3);</w:t>
      </w:r>
    </w:p>
    <w:p>
      <w:pPr>
        <w:spacing w:after="0" w:line="53" w:lineRule="exact"/>
        <w:rPr>
          <w:rFonts w:ascii="Arial" w:cs="Arial" w:eastAsia="Arial" w:hAnsi="Arial"/>
          <w:sz w:val="18"/>
          <w:szCs w:val="18"/>
          <w:color w:val="auto"/>
        </w:rPr>
      </w:pPr>
    </w:p>
    <w:p>
      <w:pPr>
        <w:ind w:left="1700" w:hanging="65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SS 240. 13d-1(b) (1) (ii)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40" w:top="895" w:right="479" w:bottom="1440" w:gutter="0" w:footer="0" w:header="0"/>
        </w:sectPr>
      </w:pPr>
    </w:p>
    <w:bookmarkStart w:id="3" w:name="page4"/>
    <w:bookmarkEnd w:id="3"/>
    <w:p>
      <w:pPr>
        <w:ind w:left="12"/>
        <w:spacing w:after="0"/>
        <w:tabs>
          <w:tab w:leader="none" w:pos="1172"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81" w:lineRule="exact"/>
        <w:rPr>
          <w:sz w:val="20"/>
          <w:szCs w:val="20"/>
          <w:color w:val="auto"/>
        </w:rPr>
      </w:pPr>
    </w:p>
    <w:p>
      <w:pPr>
        <w:ind w:left="12"/>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 w:lineRule="exact"/>
        <w:rPr>
          <w:sz w:val="20"/>
          <w:szCs w:val="20"/>
          <w:color w:val="auto"/>
        </w:rPr>
      </w:pPr>
    </w:p>
    <w:p>
      <w:pPr>
        <w:ind w:left="1852" w:hanging="447"/>
        <w:spacing w:after="0"/>
        <w:tabs>
          <w:tab w:leader="none" w:pos="18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ind w:left="1852"/>
        <w:spacing w:after="0"/>
        <w:rPr>
          <w:rFonts w:ascii="Arial" w:cs="Arial" w:eastAsia="Arial" w:hAnsi="Arial"/>
          <w:sz w:val="18"/>
          <w:szCs w:val="18"/>
          <w:color w:val="auto"/>
        </w:rPr>
      </w:pPr>
      <w:r>
        <w:rPr>
          <w:rFonts w:ascii="Arial" w:cs="Arial" w:eastAsia="Arial" w:hAnsi="Arial"/>
          <w:sz w:val="18"/>
          <w:szCs w:val="18"/>
          <w:color w:val="auto"/>
        </w:rPr>
        <w:t>1,819,313 (1)(2)</w:t>
      </w:r>
    </w:p>
    <w:p>
      <w:pPr>
        <w:spacing w:after="0" w:line="7" w:lineRule="exact"/>
        <w:rPr>
          <w:rFonts w:ascii="Arial" w:cs="Arial" w:eastAsia="Arial" w:hAnsi="Arial"/>
          <w:sz w:val="18"/>
          <w:szCs w:val="18"/>
          <w:color w:val="auto"/>
        </w:rPr>
      </w:pPr>
    </w:p>
    <w:p>
      <w:pPr>
        <w:ind w:left="1852" w:hanging="452"/>
        <w:spacing w:after="0" w:line="236" w:lineRule="auto"/>
        <w:tabs>
          <w:tab w:leader="none" w:pos="18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ind w:left="1852"/>
        <w:spacing w:after="0"/>
        <w:rPr>
          <w:rFonts w:ascii="Arial" w:cs="Arial" w:eastAsia="Arial" w:hAnsi="Arial"/>
          <w:sz w:val="18"/>
          <w:szCs w:val="18"/>
          <w:color w:val="auto"/>
        </w:rPr>
      </w:pPr>
      <w:r>
        <w:rPr>
          <w:rFonts w:ascii="Arial" w:cs="Arial" w:eastAsia="Arial" w:hAnsi="Arial"/>
          <w:sz w:val="18"/>
          <w:szCs w:val="18"/>
          <w:color w:val="auto"/>
        </w:rPr>
        <w:t>3.7% (1)(3)</w:t>
      </w:r>
    </w:p>
    <w:p>
      <w:pPr>
        <w:spacing w:after="0" w:line="20" w:lineRule="exact"/>
        <w:rPr>
          <w:rFonts w:ascii="Arial" w:cs="Arial" w:eastAsia="Arial" w:hAnsi="Arial"/>
          <w:sz w:val="18"/>
          <w:szCs w:val="18"/>
          <w:color w:val="auto"/>
        </w:rPr>
      </w:pPr>
    </w:p>
    <w:p>
      <w:pPr>
        <w:ind w:left="1852" w:hanging="447"/>
        <w:spacing w:after="0"/>
        <w:tabs>
          <w:tab w:leader="none" w:pos="18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126365</wp:posOffset>
            </wp:positionV>
            <wp:extent cx="5949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-139065</wp:posOffset>
            </wp:positionV>
            <wp:extent cx="5949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-404495</wp:posOffset>
            </wp:positionV>
            <wp:extent cx="5949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9315" cy="8255"/>
                    </a:xfrm>
                    <a:prstGeom prst="rect">
                      <a:avLst/>
                    </a:prstGeom>
                    <a:noFill/>
                  </pic:spPr>
                </pic:pic>
              </a:graphicData>
            </a:graphic>
          </wp:anchor>
        </w:drawing>
      </w:r>
    </w:p>
    <w:p>
      <w:pPr>
        <w:spacing w:after="0" w:line="192" w:lineRule="exact"/>
        <w:rPr>
          <w:sz w:val="20"/>
          <w:szCs w:val="20"/>
          <w:color w:val="auto"/>
        </w:rPr>
      </w:pPr>
    </w:p>
    <w:p>
      <w:pPr>
        <w:ind w:left="2632" w:right="5780" w:hanging="496"/>
        <w:spacing w:after="0" w:line="235" w:lineRule="auto"/>
        <w:tabs>
          <w:tab w:leader="none" w:pos="2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1,819,313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0</wp:posOffset>
            </wp:positionV>
            <wp:extent cx="5460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ind w:left="2632" w:right="5600" w:hanging="521"/>
        <w:spacing w:after="0" w:line="235" w:lineRule="auto"/>
        <w:tabs>
          <w:tab w:leader="none" w:pos="2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0</wp:posOffset>
            </wp:positionV>
            <wp:extent cx="5460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ind w:left="2632" w:right="4880" w:hanging="546"/>
        <w:spacing w:after="0" w:line="235" w:lineRule="auto"/>
        <w:tabs>
          <w:tab w:leader="none" w:pos="26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1,541,598 (1)(2)</w:t>
      </w:r>
    </w:p>
    <w:p>
      <w:pPr>
        <w:spacing w:after="0" w:line="13" w:lineRule="exact"/>
        <w:rPr>
          <w:rFonts w:ascii="Arial" w:cs="Arial" w:eastAsia="Arial" w:hAnsi="Arial"/>
          <w:sz w:val="18"/>
          <w:szCs w:val="18"/>
          <w:color w:val="auto"/>
        </w:rPr>
      </w:pPr>
    </w:p>
    <w:p>
      <w:pPr>
        <w:ind w:left="2632" w:right="4700" w:hanging="541"/>
        <w:spacing w:after="0" w:line="235" w:lineRule="auto"/>
        <w:tabs>
          <w:tab w:leader="none" w:pos="26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10" w:lineRule="exact"/>
        <w:rPr>
          <w:rFonts w:ascii="Arial" w:cs="Arial" w:eastAsia="Arial" w:hAnsi="Arial"/>
          <w:sz w:val="18"/>
          <w:szCs w:val="18"/>
          <w:color w:val="auto"/>
        </w:rPr>
      </w:pPr>
    </w:p>
    <w:p>
      <w:pPr>
        <w:ind w:left="732" w:right="80" w:hanging="732"/>
        <w:spacing w:after="0" w:line="263" w:lineRule="auto"/>
        <w:tabs>
          <w:tab w:leader="none" w:pos="3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owned include Class B common stock, as described below. Each share of Class B common stock is convertible at the option of the holder into one share of Class A common stock. Assumes conversion of all shares of Class B common stock beneficially owned by Mr. Vanderploeg into shares of Class A common stock.</w:t>
      </w:r>
    </w:p>
    <w:p>
      <w:pPr>
        <w:spacing w:after="0" w:line="210" w:lineRule="exact"/>
        <w:rPr>
          <w:rFonts w:ascii="Arial" w:cs="Arial" w:eastAsia="Arial" w:hAnsi="Arial"/>
          <w:sz w:val="18"/>
          <w:szCs w:val="18"/>
          <w:color w:val="auto"/>
        </w:rPr>
      </w:pPr>
    </w:p>
    <w:p>
      <w:pPr>
        <w:ind w:left="732" w:hanging="732"/>
        <w:spacing w:after="0" w:line="272" w:lineRule="auto"/>
        <w:tabs>
          <w:tab w:leader="none" w:pos="3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owned consist of (i) 328,402 shares of Class B common stock owned by the Jeffrey Dean Trom Charitable Remainder Trust, of which Mr. Vanderploeg is trustee; (ii) 502,275 shares of Class A common stock that may be acquired within 60 days of this statement upon the exercise of outstanding options; (iii) 710,562 shares of Class B common stock and 359 shares of Class A common stock owned by the Martin J. Vanderploeg 2001 Revocable Living Trust, of which Mr. Vanderploeg is trustee; and (iv) 225,240 shares of Class B common stock and 52,475 shares of Class A common stock owned by LAURA C WILLIAMS TR UA 05/02/2001, of which Laura Williams is the trustee and has entered into an irrevocable proxy under which she has granted sole voting power to Mr. Vanderploeg for so long as the trust holds such shares. Ms. Williams has sole dispositive power as to such shares.</w:t>
      </w:r>
    </w:p>
    <w:p>
      <w:pPr>
        <w:spacing w:after="0" w:line="204" w:lineRule="exact"/>
        <w:rPr>
          <w:rFonts w:ascii="Arial" w:cs="Arial" w:eastAsia="Arial" w:hAnsi="Arial"/>
          <w:sz w:val="17"/>
          <w:szCs w:val="17"/>
          <w:color w:val="auto"/>
        </w:rPr>
      </w:pPr>
    </w:p>
    <w:p>
      <w:pPr>
        <w:ind w:left="732" w:right="60" w:hanging="732"/>
        <w:spacing w:after="0" w:line="291" w:lineRule="auto"/>
        <w:tabs>
          <w:tab w:leader="none" w:pos="3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46,822,215 shares of Class A common stock outstanding as of November 18, 2021, plus the number of shares of Class B common stock beneficially owned by Mr. Vanderploeg, shares of Class A common stock that may be acquired by Mr. Vanderploeg within 60 days upon the exercise of outstanding options, which are treated as converted into Class A common stock or exercised, as applicable, only for the purpose of computing the percentage ownership of Mr. Vanderploeg. Each share of Class A common stock is entitled to one vote, and each share of Class B common stock is entitled to ten votes. There were 4,150,583 shares of Class B common stock outstanding as of November 18, 2021, as reported by the issuer to the reporting person, including the 1,264,204 shares of Class B common stock beneficially owned by Mr. Vanderploeg. The percentage reported does not reflect the ten for one voting power of the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-2867660</wp:posOffset>
            </wp:positionV>
            <wp:extent cx="5460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-3133725</wp:posOffset>
            </wp:positionV>
            <wp:extent cx="54603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2"/>
          </w:cols>
          <w:pgMar w:left="328" w:top="931" w:right="359" w:bottom="1440" w:gutter="0" w:footer="0" w:header="0"/>
        </w:sectPr>
      </w:pPr>
    </w:p>
    <w:bookmarkStart w:id="4" w:name="page5"/>
    <w:bookmarkEnd w:id="4"/>
    <w:p>
      <w:pPr>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81" w:lineRule="exact"/>
        <w:rPr>
          <w:sz w:val="20"/>
          <w:szCs w:val="20"/>
          <w:color w:val="auto"/>
        </w:rPr>
      </w:pPr>
    </w:p>
    <w:p>
      <w:pPr>
        <w:ind w:left="1240"/>
        <w:spacing w:after="0" w:line="235" w:lineRule="auto"/>
        <w:rPr>
          <w:sz w:val="20"/>
          <w:szCs w:val="20"/>
          <w:color w:val="auto"/>
        </w:rPr>
      </w:pPr>
      <w:r>
        <w:rPr>
          <w:rFonts w:ascii="Arial" w:cs="Arial" w:eastAsia="Arial" w:hAnsi="Arial"/>
          <w:sz w:val="18"/>
          <w:szCs w:val="18"/>
          <w:color w:val="auto"/>
        </w:rPr>
        <w:t>This statement is being filed to report the fact that, as of the date of this report, the reporting person has ceased to be the beneficial owner of more than five percent of the class of securities.</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240" w:right="520" w:hanging="1241"/>
        <w:spacing w:after="0" w:line="237" w:lineRule="auto"/>
        <w:tabs>
          <w:tab w:leader="none" w:pos="12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81" w:lineRule="exact"/>
        <w:rPr>
          <w:sz w:val="20"/>
          <w:szCs w:val="20"/>
          <w:color w:val="auto"/>
        </w:rPr>
      </w:pPr>
    </w:p>
    <w:p>
      <w:pPr>
        <w:jc w:val="center"/>
        <w:ind w:right="75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40" w:top="1147" w:right="43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11" w:lineRule="exact"/>
        <w:rPr>
          <w:sz w:val="20"/>
          <w:szCs w:val="20"/>
          <w:color w:val="auto"/>
        </w:rPr>
      </w:pPr>
    </w:p>
    <w:p>
      <w:pPr>
        <w:ind w:left="520"/>
        <w:spacing w:after="0"/>
        <w:tabs>
          <w:tab w:leader="none" w:pos="6080" w:val="left"/>
        </w:tabs>
        <w:rPr>
          <w:sz w:val="20"/>
          <w:szCs w:val="20"/>
          <w:color w:val="auto"/>
        </w:rPr>
      </w:pPr>
      <w:r>
        <w:rPr>
          <w:rFonts w:ascii="Arial" w:cs="Arial" w:eastAsia="Arial" w:hAnsi="Arial"/>
          <w:sz w:val="18"/>
          <w:szCs w:val="18"/>
          <w:color w:val="auto"/>
        </w:rPr>
        <w:t>Date: November 23, 2021</w:t>
      </w:r>
      <w:r>
        <w:rPr>
          <w:sz w:val="20"/>
          <w:szCs w:val="20"/>
          <w:color w:val="auto"/>
        </w:rPr>
        <w:tab/>
      </w:r>
      <w:r>
        <w:rPr>
          <w:rFonts w:ascii="Arial" w:cs="Arial" w:eastAsia="Arial" w:hAnsi="Arial"/>
          <w:sz w:val="16"/>
          <w:szCs w:val="16"/>
          <w:color w:val="auto"/>
        </w:rPr>
        <w:t>/s/ Martin J. Vanderploeg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Martin J. Vanderploeg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sectPr>
      <w:pgSz w:w="11900" w:h="16838" w:orient="portrait"/>
      <w:cols w:equalWidth="0" w:num="1">
        <w:col w:w="10960"/>
      </w:cols>
      <w:pgMar w:left="320" w:top="89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lvl w:ilvl="1">
      <w:lvlJc w:val="left"/>
      <w:lvlText w:val="%2."/>
      <w:numFmt w:val="decimal"/>
      <w:start w:val="5"/>
    </w:lvl>
  </w:abstractNum>
  <w:abstractNum w:abstractNumId="3">
    <w:nsid w:val="5BD062C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1220085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Roman"/>
      <w:start w:val="2"/>
    </w:lvl>
  </w:abstractNum>
  <w:abstractNum w:abstractNumId="12">
    <w:nsid w:val="109CF92E"/>
    <w:multiLevelType w:val="hybridMultilevel"/>
    <w:lvl w:ilvl="0">
      <w:lvlJc w:val="left"/>
      <w:lvlText w:val="%1"/>
      <w:numFmt w:val="decimal"/>
      <w:start w:val="1"/>
    </w:lvl>
    <w:lvl w:ilvl="1">
      <w:lvlJc w:val="left"/>
      <w:lvlText w:val="(%2)"/>
      <w:numFmt w:val="lowerRoman"/>
      <w:start w:val="3"/>
    </w:lvl>
  </w:abstractNum>
  <w:abstractNum w:abstractNumId="13">
    <w:nsid w:val="DED7263"/>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2021-11-23T15:33:53Z</dcterms:created>
  <dcterms:modified xsi:type="dcterms:W3CDTF">2021-11-23T15:33:53Z</dcterms:modified>
</cp:coreProperties>
</file>