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4, 2026</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WORKIVA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3521" w:type="dxa"/>
        <w:jc w:val="center"/>
        <w:tblInd w:w="0" w:type="dxa"/>
        <w:tblLayout w:type="fixed"/>
        <w:tblCellMar>
          <w:top w:w="28" w:type="dxa"/>
          <w:left w:w="28" w:type="dxa"/>
          <w:bottom w:w="28" w:type="dxa"/>
          <w:right w:w="28" w:type="dxa"/>
        </w:tblCellMar>
      </w:tblPr>
      <w:tblGrid>
        <w:gridCol w:w="700"/>
        <w:gridCol w:w="615"/>
        <w:gridCol w:w="619"/>
        <w:gridCol w:w="109"/>
        <w:gridCol w:w="109"/>
        <w:gridCol w:w="109"/>
        <w:gridCol w:w="368"/>
        <w:gridCol w:w="368"/>
        <w:gridCol w:w="524"/>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47-2509828</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 xml:space="preserve">(I.R.S. Employer </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2900 University Boulevard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Ames, Iowa 50010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275-3125</w:t>
      </w:r>
    </w:p>
    <w:p>
      <w:pPr>
        <w:pStyle w:val="TextBody"/>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 xml:space="preserve">(Address, including zip code, and telephone number, including area code, of Registrant’s principal executive offices)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Workiva Inc. 2014 Equity Incentive Plan </w:t>
      </w:r>
    </w:p>
    <w:p>
      <w:pPr>
        <w:pStyle w:val="TextBody"/>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 xml:space="preserve">(Full title of plans)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Julie Iskow</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2900 University Boulevard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Ames, Iowa 50010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275-3125</w:t>
      </w:r>
    </w:p>
    <w:p>
      <w:pPr>
        <w:pStyle w:val="TextBody"/>
        <w:bidi w:val="0"/>
        <w:spacing w:lineRule="auto" w:line="288" w:before="0" w:after="0"/>
        <w:jc w:val="center"/>
        <w:rPr>
          <w:rFonts w:ascii="Times New Roman;serif" w:hAnsi="Times New Roman;serif"/>
          <w:b w:val="false"/>
          <w:color w:val="000000"/>
          <w:sz w:val="15"/>
        </w:rPr>
      </w:pPr>
      <w:r>
        <w:rPr>
          <w:rFonts w:ascii="Times New Roman;serif" w:hAnsi="Times New Roman;serif"/>
          <w:b w:val="false"/>
          <w:color w:val="000000"/>
          <w:sz w:val="15"/>
        </w:rPr>
        <w:t xml:space="preserve">(Name, address, including zip code, and telephone number, including area code, of agent for service) </w:t>
      </w:r>
    </w:p>
    <w:p>
      <w:pPr>
        <w:pStyle w:val="TextBody"/>
        <w:bidi w:val="0"/>
        <w:spacing w:lineRule="auto" w:line="288" w:before="240" w:after="283"/>
        <w:jc w:val="center"/>
        <w:rPr>
          <w:rFonts w:ascii="Times New Roman;serif" w:hAnsi="Times New Roman;serif"/>
          <w:b/>
          <w:i/>
          <w:color w:val="000000"/>
          <w:sz w:val="20"/>
        </w:rPr>
      </w:pPr>
      <w:r>
        <w:rPr>
          <w:rFonts w:ascii="Times New Roman;serif" w:hAnsi="Times New Roman;serif"/>
          <w:b/>
          <w:i/>
          <w:color w:val="000000"/>
          <w:sz w:val="20"/>
        </w:rPr>
        <w:t xml:space="preserve">Copies to: </w:t>
      </w:r>
    </w:p>
    <w:tbl>
      <w:tblPr>
        <w:tblW w:w="3480" w:type="dxa"/>
        <w:jc w:val="center"/>
        <w:tblInd w:w="0" w:type="dxa"/>
        <w:tblLayout w:type="fixed"/>
        <w:tblCellMar>
          <w:top w:w="28" w:type="dxa"/>
          <w:left w:w="28" w:type="dxa"/>
          <w:bottom w:w="28" w:type="dxa"/>
          <w:right w:w="28" w:type="dxa"/>
        </w:tblCellMar>
      </w:tblPr>
      <w:tblGrid>
        <w:gridCol w:w="1113"/>
        <w:gridCol w:w="978"/>
        <w:gridCol w:w="1389"/>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Brandon E. Ziegler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Chief Legal and Administrative Officer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2900 University Boulevard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Ames, Iowa 50010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(888) 275-3125</w:t>
            </w:r>
          </w:p>
        </w:tc>
      </w:tr>
    </w:tbl>
    <w:p>
      <w:pPr>
        <w:pStyle w:val="TextBody"/>
        <w:bidi w:val="0"/>
        <w:spacing w:lineRule="auto" w:line="288" w:before="100" w:after="120"/>
        <w:jc w:val="both"/>
        <w:rPr/>
      </w:pPr>
      <w:r>
        <w:rPr>
          <w:color w:val="000000"/>
        </w:rPr>
        <w:t>    </w:t>
      </w: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7559" w:type="dxa"/>
        <w:jc w:val="left"/>
        <w:tblInd w:w="0" w:type="dxa"/>
        <w:tblLayout w:type="fixed"/>
        <w:tblCellMar>
          <w:top w:w="28" w:type="dxa"/>
          <w:left w:w="28" w:type="dxa"/>
          <w:bottom w:w="28" w:type="dxa"/>
          <w:right w:w="28" w:type="dxa"/>
        </w:tblCellMar>
      </w:tblPr>
      <w:tblGrid>
        <w:gridCol w:w="1909"/>
        <w:gridCol w:w="1678"/>
        <w:gridCol w:w="1678"/>
        <w:gridCol w:w="669"/>
        <w:gridCol w:w="669"/>
        <w:gridCol w:w="956"/>
      </w:tblGrid>
      <w:tr>
        <w:trPr/>
        <w:tc>
          <w:tcPr>
            <w:tcW w:w="19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r>
              <w:rPr>
                <w:rFonts w:ascii="Times New Roman;serif" w:hAnsi="Times New Roman;serif"/>
                <w:b w:val="false"/>
                <w:color w:val="000000"/>
                <w:sz w:val="18"/>
              </w:rPr>
              <w:t>Large accelerated filer    </w:t>
            </w: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Accelerated filer </w:t>
            </w:r>
            <w:r>
              <w:rPr>
                <w:rFonts w:ascii="Wingdings;sans-serif" w:hAnsi="Wingdings;sans-serif"/>
                <w:b w:val="false"/>
                <w:color w:val="000000"/>
                <w:sz w:val="18"/>
              </w:rPr>
              <w:t>o</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r>
              <w:rPr>
                <w:rFonts w:ascii="Times New Roman;serif" w:hAnsi="Times New Roman;serif"/>
                <w:b w:val="false"/>
                <w:color w:val="000000"/>
                <w:sz w:val="18"/>
              </w:rPr>
              <w:t>Non-accelerated filer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(Do not check if a smaller reporting company)</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Smaller reporting company </w:t>
            </w:r>
            <w:r>
              <w:rPr>
                <w:rFonts w:ascii="Wingdings;sans-serif" w:hAnsi="Wingdings;sans-serif"/>
                <w:b w:val="false"/>
                <w:color w:val="000000"/>
                <w:sz w:val="18"/>
              </w:rPr>
              <w:t>o</w:t>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Emerging growth company </w:t>
            </w:r>
            <w:r>
              <w:rPr>
                <w:rFonts w:ascii="Wingdings;sans-serif" w:hAnsi="Wingdings;sans-serif"/>
                <w:b w:val="false"/>
                <w:color w:val="000000"/>
                <w:sz w:val="18"/>
              </w:rPr>
              <w:t>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pPr>
      <w:r>
        <w:rPr>
          <w:color w:val="000000"/>
        </w:rPr>
        <w:t>    </w:t>
      </w: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20"/>
        </w:rPr>
        <w:t>o</w:t>
      </w:r>
    </w:p>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REGISTRATION STATEMENT ON FORM S-8 </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by Reference of Earlier Registration Statement on Form S-8</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Registrant has earlier filed registration statements on Form S-8 relating to the 2014 Equity Incentive Plan (File Nos. 333-200975, 333-212869, 333-226647, 333-266705 and 333-281178) (the “Earlier Registration Statements”). This Registration Statement registers additional shares for offering pursuant to such plan. Subject to Item 3 of Part II of this Registration Statement and except as modified or superseded herein, the contents of the Earlier Registration Statements are incorporated herein by reference. </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information specified in this Part I will be sent or given to participants and is omitted from this Registration Statement in accordance with Rule 428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Information Required in the Registration Statement </w:t>
      </w:r>
    </w:p>
    <w:p>
      <w:pPr>
        <w:pStyle w:val="TextBody"/>
        <w:bidi w:val="0"/>
        <w:spacing w:lineRule="auto" w:line="288" w:before="180" w:after="283"/>
        <w:jc w:val="left"/>
        <w:rPr/>
      </w:pPr>
      <w:r>
        <w:rPr>
          <w:rFonts w:ascii="Times New Roman;serif" w:hAnsi="Times New Roman;serif"/>
          <w:b/>
          <w:color w:val="000000"/>
          <w:sz w:val="20"/>
        </w:rPr>
        <w:t xml:space="preserve">Item 3. </w:t>
      </w:r>
      <w:r>
        <w:rPr>
          <w:rFonts w:ascii="Times New Roman;serif" w:hAnsi="Times New Roman;serif"/>
          <w:b/>
          <w:color w:val="000000"/>
          <w:sz w:val="20"/>
          <w:u w:val="single"/>
        </w:rPr>
        <w:t>Incorporation of Documents by Reference</w:t>
      </w:r>
      <w:r>
        <w:rPr>
          <w:rFonts w:ascii="Times New Roman;serif" w:hAnsi="Times New Roman;serif"/>
          <w:b/>
          <w:color w:val="000000"/>
          <w:sz w:val="20"/>
        </w:rPr>
        <w:t xml:space="preserve">. </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Registrant hereby incorporates by reference into this Registration Statement the following documents previously filed with the Commission: </w:t>
      </w:r>
    </w:p>
    <w:p>
      <w:pPr>
        <w:pStyle w:val="TextBody"/>
        <w:bidi w:val="0"/>
        <w:spacing w:lineRule="auto" w:line="288" w:before="100" w:after="283"/>
        <w:ind w:left="0" w:right="0" w:hanging="360"/>
        <w:jc w:val="both"/>
        <w:rPr/>
      </w:pPr>
      <w:r>
        <w:rPr>
          <w:rFonts w:ascii="Times New Roman;serif" w:hAnsi="Times New Roman;serif"/>
          <w:b w:val="false"/>
          <w:color w:val="000000"/>
          <w:sz w:val="20"/>
        </w:rPr>
        <w:t xml:space="preserve">(a)    The Registrant's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fiscal year ended December 31, 2025, including the information specifically incorporated by reference into the Annual Report on Form 10-K from the Registrant's </w:t>
      </w:r>
      <w:hyperlink r:id="rId3">
        <w:r>
          <w:rPr>
            <w:rStyle w:val="InternetLink"/>
            <w:rFonts w:ascii="Times New Roman;serif" w:hAnsi="Times New Roman;serif"/>
            <w:b w:val="false"/>
            <w:color w:val="0000FF"/>
            <w:sz w:val="20"/>
            <w:u w:val="single"/>
          </w:rPr>
          <w:t>Definitive Proxy Statement</w:t>
        </w:r>
      </w:hyperlink>
      <w:r>
        <w:rPr>
          <w:color w:val="000000"/>
        </w:rPr>
        <w:t xml:space="preserve"> </w:t>
      </w:r>
      <w:r>
        <w:rPr>
          <w:rFonts w:ascii="Times New Roman;serif" w:hAnsi="Times New Roman;serif"/>
          <w:b w:val="false"/>
          <w:color w:val="000000"/>
          <w:sz w:val="20"/>
        </w:rPr>
        <w:t>for the 2026 Annual Meeting of Stockholders;</w:t>
      </w:r>
    </w:p>
    <w:p>
      <w:pPr>
        <w:pStyle w:val="TextBody"/>
        <w:bidi w:val="0"/>
        <w:spacing w:lineRule="auto" w:line="288" w:before="100" w:after="283"/>
        <w:ind w:left="0" w:right="0" w:hanging="360"/>
        <w:jc w:val="both"/>
        <w:rPr/>
      </w:pPr>
      <w:r>
        <w:rPr>
          <w:rFonts w:ascii="Times New Roman;serif" w:hAnsi="Times New Roman;serif"/>
          <w:b w:val="false"/>
          <w:color w:val="000000"/>
          <w:sz w:val="20"/>
        </w:rPr>
        <w:t xml:space="preserve">(b)    The Registrant's Quarterly Reports on Form 10-Q for the quarters ended </w:t>
      </w:r>
      <w:hyperlink r:id="rId4">
        <w:r>
          <w:rPr>
            <w:rStyle w:val="InternetLink"/>
          </w:rPr>
          <w:t>March 31, 202</w:t>
        </w:r>
      </w:hyperlink>
      <w:hyperlink r:id="rId5">
        <w:r>
          <w:rPr>
            <w:rStyle w:val="InternetLink"/>
          </w:rPr>
          <w:t>6</w:t>
        </w:r>
      </w:hyperlink>
      <w:r>
        <w:rPr>
          <w:color w:val="000000"/>
        </w:rPr>
        <w:t xml:space="preserve"> </w:t>
      </w:r>
      <w:r>
        <w:rPr>
          <w:rFonts w:ascii="Times New Roman;serif" w:hAnsi="Times New Roman;serif"/>
          <w:b w:val="false"/>
          <w:color w:val="000000"/>
          <w:sz w:val="20"/>
        </w:rPr>
        <w:t xml:space="preserve">and </w:t>
      </w:r>
      <w:hyperlink r:id="rId6">
        <w:r>
          <w:rPr>
            <w:rStyle w:val="InternetLink"/>
          </w:rPr>
          <w:t>June 30, 202</w:t>
        </w:r>
      </w:hyperlink>
      <w:hyperlink r:id="rId7">
        <w:r>
          <w:rPr>
            <w:rStyle w:val="InternetLink"/>
          </w:rPr>
          <w:t>6</w:t>
        </w:r>
      </w:hyperlink>
      <w:r>
        <w:rPr>
          <w:rFonts w:ascii="Times New Roman;serif" w:hAnsi="Times New Roman;serif"/>
          <w:b w:val="false"/>
          <w:color w:val="000000"/>
          <w:sz w:val="20"/>
        </w:rPr>
        <w:t>;</w:t>
      </w:r>
    </w:p>
    <w:p>
      <w:pPr>
        <w:pStyle w:val="TextBody"/>
        <w:bidi w:val="0"/>
        <w:spacing w:lineRule="auto" w:line="288" w:before="100" w:after="283"/>
        <w:ind w:left="0" w:right="0" w:hanging="360"/>
        <w:jc w:val="both"/>
        <w:rPr/>
      </w:pPr>
      <w:r>
        <w:rPr>
          <w:rFonts w:ascii="Times New Roman;serif" w:hAnsi="Times New Roman;serif"/>
          <w:b w:val="false"/>
          <w:color w:val="000000"/>
          <w:sz w:val="20"/>
        </w:rPr>
        <w:t xml:space="preserve">(c)    The Registrant's Current Reports on Form 8-K filed on </w:t>
      </w:r>
      <w:hyperlink r:id="rId8">
        <w:r>
          <w:rPr>
            <w:rStyle w:val="InternetLink"/>
            <w:rFonts w:ascii="Times New Roman;serif" w:hAnsi="Times New Roman;serif"/>
            <w:b w:val="false"/>
            <w:color w:val="0000FF"/>
            <w:sz w:val="20"/>
            <w:u w:val="single"/>
          </w:rPr>
          <w:t>January 28, 2026</w:t>
        </w:r>
      </w:hyperlink>
      <w:r>
        <w:rPr>
          <w:rFonts w:ascii="Times New Roman;serif" w:hAnsi="Times New Roman;serif"/>
          <w:b w:val="false"/>
          <w:color w:val="000000"/>
          <w:sz w:val="20"/>
        </w:rPr>
        <w:t xml:space="preserve">, </w:t>
      </w:r>
      <w:hyperlink r:id="rId9">
        <w:r>
          <w:rPr>
            <w:rStyle w:val="InternetLink"/>
          </w:rPr>
          <w:t>Ma</w:t>
        </w:r>
      </w:hyperlink>
      <w:hyperlink r:id="rId10">
        <w:r>
          <w:rPr>
            <w:rStyle w:val="InternetLink"/>
          </w:rPr>
          <w:t xml:space="preserve">y 5, </w:t>
        </w:r>
      </w:hyperlink>
      <w:hyperlink r:id="rId11">
        <w:r>
          <w:rPr>
            <w:rStyle w:val="InternetLink"/>
          </w:rPr>
          <w:t>2026</w:t>
        </w:r>
      </w:hyperlink>
      <w:r>
        <w:rPr>
          <w:rFonts w:ascii="Times New Roman;serif" w:hAnsi="Times New Roman;serif"/>
          <w:b w:val="false"/>
          <w:color w:val="000000"/>
          <w:sz w:val="20"/>
        </w:rPr>
        <w:t xml:space="preserve">, and </w:t>
      </w:r>
      <w:hyperlink r:id="rId12">
        <w:r>
          <w:rPr>
            <w:rStyle w:val="InternetLink"/>
          </w:rPr>
          <w:t>Ju</w:t>
        </w:r>
      </w:hyperlink>
      <w:hyperlink r:id="rId13">
        <w:r>
          <w:rPr>
            <w:rStyle w:val="InternetLink"/>
          </w:rPr>
          <w:t>ne 2, 2026</w:t>
        </w:r>
      </w:hyperlink>
      <w:r>
        <w:rPr>
          <w:rFonts w:ascii="Times New Roman;serif" w:hAnsi="Times New Roman;serif"/>
          <w:b w:val="false"/>
          <w:color w:val="000000"/>
          <w:sz w:val="20"/>
        </w:rPr>
        <w:t>; and</w:t>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(d)     The description of the Registrant’s Class A common stock contained in the Registrant’s Registration Statement on Form 8-A (Registration No. 001-36773) filed with the Commission on December 5, 2014, pursuant to Section 12(b) of the Securities Exchange Act of 1934, as amended (the “Exchange Act”), updated by the description of the Registrant’s capital stock contained in </w:t>
      </w:r>
      <w:hyperlink r:id="rId14">
        <w:r>
          <w:rPr>
            <w:rStyle w:val="InternetLink"/>
            <w:rFonts w:ascii="Times New Roman;serif" w:hAnsi="Times New Roman;serif"/>
            <w:b w:val="false"/>
            <w:color w:val="0000FF"/>
            <w:sz w:val="20"/>
            <w:u w:val="single"/>
          </w:rPr>
          <w:t>Exhibit 4.04</w:t>
        </w:r>
      </w:hyperlink>
      <w:r>
        <w:rPr>
          <w:color w:val="000000"/>
        </w:rPr>
        <w:t xml:space="preserve"> </w:t>
      </w:r>
      <w:r>
        <w:rPr>
          <w:rFonts w:ascii="Times New Roman;serif" w:hAnsi="Times New Roman;serif"/>
          <w:b w:val="false"/>
          <w:color w:val="000000"/>
          <w:sz w:val="20"/>
        </w:rPr>
        <w:t>to the Registrant’s Annual Report on Form 10-K for the year ended December 31, 2025, and any and all amendments or reports filed for the purpose of updating such description.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reports and definitive proxy or information statements filed by the Registrant pursuant to Section 13(a), 13(c), 14 or 15(d) of the Exchange Act subsequent to the filing of this Registration Statement and prior to the filing of a post-effective amendment that indicates that all securities offered hereby have been sold or that de-registers all securities then remaining unsold shall be deemed to be incorporated by reference into this Registration Statement and to be a part hereof from the date of filing of such documents, except as to documents or information deemed to have been furnished and not filed in accordance with the rules of the Commission. Any statement contained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280" w:after="283"/>
        <w:jc w:val="left"/>
        <w:rPr/>
      </w:pPr>
      <w:r>
        <w:rPr>
          <w:rFonts w:ascii="Times New Roman;serif" w:hAnsi="Times New Roman;serif"/>
          <w:b/>
          <w:color w:val="000000"/>
          <w:sz w:val="20"/>
        </w:rPr>
        <w:t xml:space="preserve">Item 4. </w:t>
      </w:r>
      <w:r>
        <w:rPr>
          <w:rFonts w:ascii="Times New Roman;serif" w:hAnsi="Times New Roman;serif"/>
          <w:b/>
          <w:color w:val="000000"/>
          <w:sz w:val="20"/>
          <w:u w:val="single"/>
        </w:rPr>
        <w:t>Description of Securities</w:t>
      </w:r>
      <w:r>
        <w:rPr>
          <w:rFonts w:ascii="Times New Roman;serif" w:hAnsi="Times New Roman;serif"/>
          <w:b/>
          <w:color w:val="000000"/>
          <w:sz w:val="20"/>
        </w:rPr>
        <w:t xml:space="preserve">. </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left"/>
        <w:rPr/>
      </w:pPr>
      <w:r>
        <w:rPr>
          <w:rFonts w:ascii="Times New Roman;serif" w:hAnsi="Times New Roman;serif"/>
          <w:b/>
          <w:color w:val="000000"/>
          <w:sz w:val="20"/>
        </w:rPr>
        <w:t xml:space="preserve">Item 5. </w:t>
      </w:r>
      <w:r>
        <w:rPr>
          <w:rFonts w:ascii="Times New Roman;serif" w:hAnsi="Times New Roman;serif"/>
          <w:b/>
          <w:color w:val="000000"/>
          <w:sz w:val="20"/>
          <w:u w:val="single"/>
        </w:rPr>
        <w:t>Interests of Named Experts and Counsel</w:t>
      </w:r>
      <w:r>
        <w:rPr>
          <w:rFonts w:ascii="Times New Roman;serif" w:hAnsi="Times New Roman;serif"/>
          <w:b/>
          <w:color w:val="000000"/>
          <w:sz w:val="20"/>
        </w:rPr>
        <w:t xml:space="preserve">.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280" w:after="283"/>
        <w:jc w:val="left"/>
        <w:rPr/>
      </w:pPr>
      <w:r>
        <w:rPr>
          <w:rFonts w:ascii="Times New Roman;serif" w:hAnsi="Times New Roman;serif"/>
          <w:b/>
          <w:color w:val="000000"/>
          <w:sz w:val="20"/>
        </w:rPr>
        <w:t xml:space="preserve">Item 6. </w:t>
      </w:r>
      <w:r>
        <w:rPr>
          <w:rFonts w:ascii="Times New Roman;serif" w:hAnsi="Times New Roman;serif"/>
          <w:b/>
          <w:color w:val="000000"/>
          <w:sz w:val="20"/>
          <w:u w:val="single"/>
        </w:rPr>
        <w:t>Indemnification of Directors and Officers</w:t>
      </w:r>
      <w:r>
        <w:rPr>
          <w:rFonts w:ascii="Times New Roman;serif" w:hAnsi="Times New Roman;serif"/>
          <w:b/>
          <w:color w:val="000000"/>
          <w:sz w:val="20"/>
        </w:rPr>
        <w:t xml:space="preserve">. </w:t>
      </w:r>
    </w:p>
    <w:p>
      <w:pPr>
        <w:pStyle w:val="TextBody"/>
        <w:bidi w:val="0"/>
        <w:spacing w:lineRule="auto" w:line="288" w:before="1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Sections 145 and 102(b)(7) of the Delaware General Corporation Law authorize a court to award, or a corporation’s board of directors to grant, indemnity to its directors and officers under certain circumstances and subject to certain limitations. The terms of Sections 145 and 102(b)(7) of the Delaware General Corporation Law are sufficiently broad to permit indemnification under certain circumstances for liabilities, including reimbursement of expenses incurred, arising under the Securities Act.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permitted by the Delaware General Corporation Law, the Registrant’s certificate of incorporation contains provisions that eliminate the personal liability of its directors and officers for monetary damages for any breach of fiduciary duties as a director or officer, except liability for the following: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any breach of the director’s or officer's duty of loyalty to the Registrant or its stockholders;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any act or omission not in good faith or that involves intentional misconduct or a knowing violation of law;</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unlawful payments of dividends or unlawful stock repurchases or redemptions as provided in Section 174 of the Delaware General Corporation Law with respect to directors;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any transaction from which the director or officer derived an improper personal benefit; or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with respect to officers, any action by or in the right of the Registrant.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Registrant’s bylaws provide that the Registrant is required to indemnify its directors and officers to the maximum extent not prohibited by the Delaware General Corporation Law and that the Registrant may indemnify its other employees and agents as set forth in the Delaware General Corporation Law. Subject to certain limitations, the Registrant’s bylaws also require the Registrant to advance expenses as incurred by its directors and officers for the defense of any action for which indemnification is required or permitted. In addition, under the Delaware General Corporation Law, the Registrant may be required to indemnify its directors and officers under certain other circumstances.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indemnification under the Registrant’s certificate of incorporation and bylaws, the Registrant has entered into separate indemnification agreements with its directors and executive officers. These agreements, among other things, provide that the Registrant will indemnify its directors and executive officers for certain expenses (including attorneys’ fees), judgments, fines, penalties and settlement amounts incurred by a director or executive officer in any action or proceeding arising out of such person’s services as one of the Registrant’s directors or executive officers, or any other company or enterprise to which the person provides services at the Registrant’s request.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Registrant carries and intends to maintain directors’ and officers’ liability insurance on behalf of each and any person who is or was a director or officer of the Registrant against any loss arising from any claim asserted against him or her and incurred by him or her in any such capacity, subject to certain exclusions.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certain of the Registrant’s non-employee directors may, through their relationships with their employers, be insured and/or indemnified against certain liabilities incurred in their capacity as members of the Registrant’s board of directors.</w:t>
      </w:r>
    </w:p>
    <w:p>
      <w:pPr>
        <w:pStyle w:val="TextBody"/>
        <w:bidi w:val="0"/>
        <w:spacing w:lineRule="auto" w:line="288" w:before="280" w:after="283"/>
        <w:jc w:val="left"/>
        <w:rPr/>
      </w:pPr>
      <w:r>
        <w:rPr>
          <w:rFonts w:ascii="Times New Roman;serif" w:hAnsi="Times New Roman;serif"/>
          <w:b/>
          <w:color w:val="000000"/>
          <w:sz w:val="20"/>
        </w:rPr>
        <w:t xml:space="preserve">Item 7. </w:t>
      </w:r>
      <w:r>
        <w:rPr>
          <w:rFonts w:ascii="Times New Roman;serif" w:hAnsi="Times New Roman;serif"/>
          <w:b/>
          <w:color w:val="000000"/>
          <w:sz w:val="20"/>
          <w:u w:val="single"/>
        </w:rPr>
        <w:t>Exemption from Registration Claimed</w:t>
      </w:r>
      <w:r>
        <w:rPr>
          <w:rFonts w:ascii="Times New Roman;serif" w:hAnsi="Times New Roman;serif"/>
          <w:b/>
          <w:color w:val="000000"/>
          <w:sz w:val="20"/>
        </w:rPr>
        <w:t xml:space="preserve">. </w:t>
      </w:r>
    </w:p>
    <w:p>
      <w:pPr>
        <w:pStyle w:val="TextBody"/>
        <w:bidi w:val="0"/>
        <w:spacing w:lineRule="auto" w:line="288" w:before="1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Item 8. </w:t>
      </w:r>
      <w:r>
        <w:rPr>
          <w:rFonts w:ascii="Times New Roman;serif" w:hAnsi="Times New Roman;serif"/>
          <w:b/>
          <w:color w:val="000000"/>
          <w:sz w:val="20"/>
          <w:u w:val="single"/>
        </w:rPr>
        <w:t>Exhibits</w:t>
      </w:r>
      <w:r>
        <w:rPr>
          <w:rFonts w:ascii="Times New Roman;serif" w:hAnsi="Times New Roman;serif"/>
          <w:b/>
          <w:color w:val="000000"/>
          <w:sz w:val="20"/>
        </w:rPr>
        <w:t xml:space="preserv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documents are filed or incorporated by reference as part of this Form S-8.</w:t>
      </w:r>
    </w:p>
    <w:tbl>
      <w:tblPr>
        <w:tblW w:w="10205" w:type="dxa"/>
        <w:jc w:val="center"/>
        <w:tblInd w:w="0" w:type="dxa"/>
        <w:tblLayout w:type="fixed"/>
        <w:tblCellMar>
          <w:top w:w="28" w:type="dxa"/>
          <w:left w:w="28" w:type="dxa"/>
          <w:bottom w:w="28" w:type="dxa"/>
          <w:right w:w="28" w:type="dxa"/>
        </w:tblCellMar>
      </w:tblPr>
      <w:tblGrid>
        <w:gridCol w:w="294"/>
        <w:gridCol w:w="258"/>
        <w:gridCol w:w="259"/>
        <w:gridCol w:w="2793"/>
        <w:gridCol w:w="2724"/>
        <w:gridCol w:w="38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877" w:type="dxa"/>
            <w:tcBorders/>
            <w:vAlign w:val="center"/>
          </w:tcPr>
          <w:p>
            <w:pPr>
              <w:pStyle w:val="TableContents"/>
              <w:bidi w:val="0"/>
              <w:spacing w:before="0" w:after="283"/>
              <w:jc w:val="left"/>
              <w:rPr>
                <w:sz w:val="4"/>
                <w:szCs w:val="4"/>
              </w:rPr>
            </w:pPr>
            <w:r>
              <w:rPr>
                <w:sz w:val="4"/>
                <w:szCs w:val="4"/>
              </w:rPr>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Exhibit</w:t>
            </w:r>
            <w:r>
              <w:rPr>
                <w:color w:val="000000"/>
              </w:rPr>
              <w:t xml:space="preserve"> </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80"/>
                  <w:sz w:val="20"/>
                  <w:u w:val="single"/>
                </w:rPr>
                <w:t xml:space="preserve">Workiva Inc. 2014 Equity Incentive Plan (As Amended and Restated May </w:t>
              </w:r>
            </w:hyperlink>
            <w:hyperlink r:id="rId16">
              <w:r>
                <w:rPr>
                  <w:rStyle w:val="InternetLink"/>
                  <w:rFonts w:ascii="Times New Roman;serif" w:hAnsi="Times New Roman;serif"/>
                  <w:b w:val="false"/>
                  <w:color w:val="000080"/>
                  <w:sz w:val="20"/>
                  <w:u w:val="single"/>
                </w:rPr>
                <w:t>28</w:t>
              </w:r>
            </w:hyperlink>
            <w:hyperlink r:id="rId17">
              <w:r>
                <w:rPr>
                  <w:rStyle w:val="InternetLink"/>
                  <w:rFonts w:ascii="Times New Roman;serif" w:hAnsi="Times New Roman;serif"/>
                  <w:b w:val="false"/>
                  <w:color w:val="000080"/>
                  <w:sz w:val="20"/>
                  <w:u w:val="single"/>
                </w:rPr>
                <w:t>, 202</w:t>
              </w:r>
            </w:hyperlink>
            <w:hyperlink r:id="rId18">
              <w:r>
                <w:rPr>
                  <w:rStyle w:val="InternetLink"/>
                  <w:rFonts w:ascii="Times New Roman;serif" w:hAnsi="Times New Roman;serif"/>
                  <w:b w:val="false"/>
                  <w:color w:val="000080"/>
                  <w:sz w:val="20"/>
                  <w:u w:val="single"/>
                </w:rPr>
                <w:t>6</w:t>
              </w:r>
            </w:hyperlink>
            <w:hyperlink r:id="rId19">
              <w:r>
                <w:rPr>
                  <w:rStyle w:val="InternetLink"/>
                  <w:rFonts w:ascii="Times New Roman;serif" w:hAnsi="Times New Roman;serif"/>
                  <w:b w:val="false"/>
                  <w:color w:val="000080"/>
                  <w:sz w:val="20"/>
                  <w:u w:val="single"/>
                </w:rPr>
                <w:t>)</w:t>
              </w:r>
            </w:hyperlink>
            <w:r>
              <w:rPr>
                <w:rFonts w:ascii="Times New Roman;serif" w:hAnsi="Times New Roman;serif"/>
                <w:b w:val="false"/>
                <w:color w:val="000000"/>
                <w:sz w:val="20"/>
              </w:rPr>
              <w:t>, incorporated by reference from Exhibit 10.1 to the Registrant’s Current Report on Form 8-K filed on June 2, 2026.</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8exhibit518x4x2026.htm">
              <w:r>
                <w:rPr>
                  <w:rStyle w:val="InternetLink"/>
                  <w:rFonts w:ascii="Times New Roman;serif" w:hAnsi="Times New Roman;serif"/>
                  <w:b w:val="false"/>
                  <w:color w:val="0000FF"/>
                  <w:sz w:val="20"/>
                  <w:u w:val="single"/>
                </w:rPr>
                <w:t>Opinion of Faegre Drinker Biddle &amp; Reath LLP</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8exhibit2318x4x2026.htm">
              <w:r>
                <w:rPr>
                  <w:rStyle w:val="InternetLink"/>
                  <w:rFonts w:ascii="Times New Roman;serif" w:hAnsi="Times New Roman;serif"/>
                  <w:b w:val="false"/>
                  <w:color w:val="000080"/>
                  <w:sz w:val="20"/>
                  <w:u w:val="single"/>
                </w:rPr>
                <w:t xml:space="preserve">Consent of </w:t>
              </w:r>
            </w:hyperlink>
            <w:hyperlink w:anchor="s-8exhibit2318x4x2026.htm">
              <w:r>
                <w:rPr>
                  <w:rStyle w:val="InternetLink"/>
                  <w:rFonts w:ascii="Times New Roman;serif" w:hAnsi="Times New Roman;serif"/>
                  <w:b w:val="false"/>
                  <w:color w:val="000080"/>
                  <w:sz w:val="20"/>
                  <w:u w:val="single"/>
                </w:rPr>
                <w:t>Ernst &amp; Young</w:t>
              </w:r>
            </w:hyperlink>
            <w:hyperlink w:anchor="s-8exhibit2318x4x2026.htm">
              <w:r>
                <w:rPr>
                  <w:rStyle w:val="InternetLink"/>
                  <w:rFonts w:ascii="Times New Roman;serif" w:hAnsi="Times New Roman;serif"/>
                  <w:b w:val="false"/>
                  <w:color w:val="000080"/>
                  <w:sz w:val="20"/>
                  <w:u w:val="single"/>
                </w:rPr>
                <w:t xml:space="preserve"> LLP, Independent Registered Public Accounting Firm</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8exhibit518x4x2026.htm">
              <w:r>
                <w:rPr>
                  <w:rStyle w:val="InternetLink"/>
                  <w:rFonts w:ascii="Times New Roman;serif" w:hAnsi="Times New Roman;serif"/>
                  <w:b w:val="false"/>
                  <w:color w:val="0000FF"/>
                  <w:sz w:val="20"/>
                  <w:u w:val="single"/>
                </w:rPr>
                <w:t>Consent of Faegre Drinker Biddle &amp; Reath LLP</w:t>
              </w:r>
            </w:hyperlink>
            <w:r>
              <w:rPr>
                <w:color w:val="000000"/>
              </w:rPr>
              <w:t xml:space="preserve"> </w:t>
            </w:r>
            <w:r>
              <w:rPr>
                <w:rFonts w:ascii="Times New Roman;serif" w:hAnsi="Times New Roman;serif"/>
                <w:b w:val="false"/>
                <w:color w:val="000000"/>
                <w:sz w:val="20"/>
              </w:rPr>
              <w:t>(contained in Exhibit 5.1).</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(incorporated by reference to Page S-1 of this Registration Statement).</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Calculation of Filing Fee Table Form S-8</w:t>
              </w:r>
            </w:hyperlink>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9. </w:t>
      </w:r>
      <w:r>
        <w:rPr>
          <w:rFonts w:ascii="Times New Roman;serif" w:hAnsi="Times New Roman;serif"/>
          <w:b/>
          <w:color w:val="000000"/>
          <w:sz w:val="20"/>
          <w:u w:val="single"/>
        </w:rPr>
        <w:t>Undertakings</w:t>
      </w:r>
      <w:r>
        <w:rPr>
          <w:rFonts w:ascii="Times New Roman;serif" w:hAnsi="Times New Roman;serif"/>
          <w:b/>
          <w:color w:val="000000"/>
          <w:sz w:val="20"/>
        </w:rPr>
        <w:t xml:space="preserve">.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lineRule="auto" w:line="288" w:before="1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(1) To file, during any period in which offers or sales are being made, a post-effective amendment to this Registration Statement: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 to include any prospectus required by Section 10(a)(3) of the Securities Act;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and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100" w:after="283"/>
        <w:ind w:left="0" w:right="0" w:firstLine="495"/>
        <w:jc w:val="both"/>
        <w:rPr/>
      </w:pP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paragraphs (A)(1)(i) and (A)(1)(ii) above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(3) To remove from registration by means of a post-effective amendment any of the securities being registered which remain unsold at the termination of the offering.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 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Ames, State of Iowa, on this 4th day of August, 2026.</w:t>
      </w:r>
    </w:p>
    <w:tbl>
      <w:tblPr>
        <w:tblW w:w="3076" w:type="dxa"/>
        <w:jc w:val="right"/>
        <w:tblInd w:w="0" w:type="dxa"/>
        <w:tblLayout w:type="fixed"/>
        <w:tblCellMar>
          <w:top w:w="28" w:type="dxa"/>
          <w:left w:w="28" w:type="dxa"/>
          <w:bottom w:w="28" w:type="dxa"/>
          <w:right w:w="28" w:type="dxa"/>
        </w:tblCellMar>
      </w:tblPr>
      <w:tblGrid>
        <w:gridCol w:w="186"/>
        <w:gridCol w:w="164"/>
        <w:gridCol w:w="164"/>
        <w:gridCol w:w="164"/>
        <w:gridCol w:w="164"/>
        <w:gridCol w:w="164"/>
        <w:gridCol w:w="597"/>
        <w:gridCol w:w="597"/>
        <w:gridCol w:w="876"/>
      </w:tblGrid>
      <w:tr>
        <w:trPr/>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WORKIVA INC.</w:t>
            </w:r>
          </w:p>
        </w:tc>
      </w:tr>
      <w:tr>
        <w:trPr/>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Julie Iskow</w:t>
            </w:r>
          </w:p>
        </w:tc>
      </w:tr>
      <w:tr>
        <w:trPr/>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88" w:before="180" w:after="283"/>
        <w:ind w:left="0" w:right="0" w:firstLine="720"/>
        <w:jc w:val="both"/>
        <w:rPr/>
      </w:pPr>
      <w:r>
        <w:rPr>
          <w:rFonts w:ascii="Times New Roman;serif" w:hAnsi="Times New Roman;serif"/>
          <w:b/>
          <w:color w:val="000000"/>
          <w:sz w:val="20"/>
        </w:rPr>
        <w:t>KNOW ALL PERSONS BY THESE PRESENTS</w:t>
      </w:r>
      <w:r>
        <w:rPr>
          <w:rFonts w:ascii="Times New Roman;serif" w:hAnsi="Times New Roman;serif"/>
          <w:b w:val="false"/>
          <w:color w:val="000000"/>
          <w:sz w:val="20"/>
        </w:rPr>
        <w:t xml:space="preserve">, that the undersigned officers and directors of Workiva Inc., a Delaware corporation, do hereby constitute and appoint Julie Iskow and Barbara Larson, and each of them, the lawful attorneys-in-fact and agents with full power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attorneys and agents, or any one of them, shall do or cause to be done by virtue hereof.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this Registration Statement has been signed by the following persons on behalf of the Registrant in the capacities and on the dates indicated. </w:t>
      </w:r>
    </w:p>
    <w:tbl>
      <w:tblPr>
        <w:tblW w:w="9742" w:type="dxa"/>
        <w:jc w:val="left"/>
        <w:tblInd w:w="0" w:type="dxa"/>
        <w:tblLayout w:type="fixed"/>
        <w:tblCellMar>
          <w:top w:w="28" w:type="dxa"/>
          <w:left w:w="28" w:type="dxa"/>
          <w:bottom w:w="28" w:type="dxa"/>
          <w:right w:w="28" w:type="dxa"/>
        </w:tblCellMar>
      </w:tblPr>
      <w:tblGrid>
        <w:gridCol w:w="889"/>
        <w:gridCol w:w="782"/>
        <w:gridCol w:w="788"/>
        <w:gridCol w:w="109"/>
        <w:gridCol w:w="109"/>
        <w:gridCol w:w="109"/>
        <w:gridCol w:w="1737"/>
        <w:gridCol w:w="1737"/>
        <w:gridCol w:w="1761"/>
        <w:gridCol w:w="109"/>
        <w:gridCol w:w="109"/>
        <w:gridCol w:w="109"/>
        <w:gridCol w:w="405"/>
        <w:gridCol w:w="405"/>
        <w:gridCol w:w="584"/>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before="0" w:after="20"/>
              <w:jc w:val="left"/>
              <w:rPr/>
            </w:pPr>
            <w:r>
              <w:rPr/>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Julie Iskow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Barbara Larson </w:t>
            </w:r>
          </w:p>
          <w:p>
            <w:pPr>
              <w:pStyle w:val="TableContents"/>
              <w:bidi w:val="0"/>
              <w:spacing w:before="0" w:after="20"/>
              <w:jc w:val="left"/>
              <w:rPr/>
            </w:pPr>
            <w:r>
              <w:rPr/>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Barbara Larson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Michael M. Crow, Ph.D. </w:t>
            </w:r>
          </w:p>
          <w:p>
            <w:pPr>
              <w:pStyle w:val="TableContents"/>
              <w:bidi w:val="0"/>
              <w:spacing w:before="0" w:after="0"/>
              <w:jc w:val="left"/>
              <w:rPr/>
            </w:pPr>
            <w:r>
              <w:rPr/>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Michael M. Crow,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R. Scott Herren </w:t>
            </w:r>
          </w:p>
          <w:p>
            <w:pPr>
              <w:pStyle w:val="TableContents"/>
              <w:bidi w:val="0"/>
              <w:spacing w:before="0" w:after="20"/>
              <w:jc w:val="left"/>
              <w:rPr/>
            </w:pPr>
            <w:r>
              <w:rPr/>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 Scott Herren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Robert H. Herz </w:t>
            </w:r>
          </w:p>
          <w:p>
            <w:pPr>
              <w:pStyle w:val="TableContents"/>
              <w:bidi w:val="0"/>
              <w:spacing w:before="0" w:after="20"/>
              <w:jc w:val="left"/>
              <w:rPr/>
            </w:pPr>
            <w:r>
              <w:rPr/>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Robert H. Herz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Astha Malik </w:t>
            </w:r>
          </w:p>
          <w:p>
            <w:pPr>
              <w:pStyle w:val="TableContents"/>
              <w:bidi w:val="0"/>
              <w:spacing w:before="0" w:after="0"/>
              <w:jc w:val="left"/>
              <w:rPr/>
            </w:pPr>
            <w:r>
              <w:rPr/>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Astha Malik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Mark S. Peek </w:t>
            </w:r>
          </w:p>
          <w:p>
            <w:pPr>
              <w:pStyle w:val="TableContents"/>
              <w:bidi w:val="0"/>
              <w:spacing w:before="0" w:after="0"/>
              <w:jc w:val="left"/>
              <w:rPr/>
            </w:pPr>
            <w:r>
              <w:rPr/>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Mark S. Peek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Suku Radia </w:t>
            </w:r>
          </w:p>
          <w:p>
            <w:pPr>
              <w:pStyle w:val="TableContents"/>
              <w:bidi w:val="0"/>
              <w:spacing w:before="0" w:after="20"/>
              <w:jc w:val="left"/>
              <w:rPr/>
            </w:pPr>
            <w:r>
              <w:rPr/>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Suku Radia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Martin J. Vanderploeg </w:t>
            </w:r>
          </w:p>
          <w:p>
            <w:pPr>
              <w:pStyle w:val="TableContents"/>
              <w:bidi w:val="0"/>
              <w:spacing w:before="0" w:after="20"/>
              <w:jc w:val="left"/>
              <w:rPr/>
            </w:pPr>
            <w:r>
              <w:rPr/>
            </w:r>
          </w:p>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Martin J. Vanderploeg,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[Faegre Drinker Biddle &amp; Reath LLP Letterhead]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August 4, 2026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Workiva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2900 University Blvd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Ames, IA 50010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    Securities Being Registered under Registration Statement on Form S-8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4"/>
        </w:rPr>
        <w:t>We have acted as counsel to Workiva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in connection with the preparation and filing of a Registration Statement on Form S-8 (the “</w:t>
      </w:r>
      <w:r>
        <w:rPr>
          <w:rFonts w:ascii="Times New Roman;serif" w:hAnsi="Times New Roman;serif"/>
          <w:b/>
          <w:color w:val="000000"/>
          <w:sz w:val="24"/>
        </w:rPr>
        <w:t>Registration Statement</w:t>
      </w:r>
      <w:r>
        <w:rPr>
          <w:color w:val="000000"/>
        </w:rPr>
        <w:t>”</w:t>
      </w:r>
      <w:r>
        <w:rPr>
          <w:rFonts w:ascii="Times New Roman;serif" w:hAnsi="Times New Roman;serif"/>
          <w:b w:val="false"/>
          <w:color w:val="000000"/>
          <w:sz w:val="24"/>
        </w:rPr>
        <w:t>) filed with the Securities and Exchange Commission (the “</w:t>
      </w:r>
      <w:r>
        <w:rPr>
          <w:rFonts w:ascii="Times New Roman;serif" w:hAnsi="Times New Roman;serif"/>
          <w:b/>
          <w:color w:val="000000"/>
          <w:sz w:val="24"/>
        </w:rPr>
        <w:t>Commission</w:t>
      </w:r>
      <w:r>
        <w:rPr>
          <w:color w:val="000000"/>
        </w:rPr>
        <w:t>”</w:t>
      </w:r>
      <w:r>
        <w:rPr>
          <w:rFonts w:ascii="Times New Roman;serif" w:hAnsi="Times New Roman;serif"/>
          <w:b w:val="false"/>
          <w:color w:val="000000"/>
          <w:sz w:val="24"/>
        </w:rPr>
        <w:t>) pursuant to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on or about the date hereof registering the offer and sale of 3,900,000 additional shares (the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 of Class A common stock, $0.001 par value per share (“</w:t>
      </w:r>
      <w:r>
        <w:rPr>
          <w:rFonts w:ascii="Times New Roman;serif" w:hAnsi="Times New Roman;serif"/>
          <w:b/>
          <w:color w:val="000000"/>
          <w:sz w:val="24"/>
        </w:rPr>
        <w:t>Class A Common Stock</w:t>
      </w:r>
      <w:r>
        <w:rPr>
          <w:color w:val="000000"/>
        </w:rPr>
        <w:t>”</w:t>
      </w:r>
      <w:r>
        <w:rPr>
          <w:rFonts w:ascii="Times New Roman;serif" w:hAnsi="Times New Roman;serif"/>
          <w:b w:val="false"/>
          <w:color w:val="000000"/>
          <w:sz w:val="24"/>
        </w:rPr>
        <w:t>), of the Company, issuable pursuant to the Company’s 2014 Equity Incentive Plan as amended and restated effective May 28, 2026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For purposes of this opinion letter, we have examined the Amended and Restated Certificate of Incorporation and the Bylaws of the Company, each as amended and currently in effect, the Registration Statement, the Plan, and the resolutions of the Board of Directors of the Company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authorizing the Plan and the issuance of the Shares. We have also examined a certificate of the Secretary of the Company dated as of the date hereof (the “</w:t>
      </w:r>
      <w:r>
        <w:rPr>
          <w:rFonts w:ascii="Times New Roman;serif" w:hAnsi="Times New Roman;serif"/>
          <w:b/>
          <w:color w:val="000000"/>
          <w:sz w:val="24"/>
        </w:rPr>
        <w:t>Certificate</w:t>
      </w:r>
      <w:r>
        <w:rPr>
          <w:color w:val="000000"/>
        </w:rPr>
        <w:t>”</w:t>
      </w:r>
      <w:r>
        <w:rPr>
          <w:rFonts w:ascii="Times New Roman;serif" w:hAnsi="Times New Roman;serif"/>
          <w:b w:val="false"/>
          <w:color w:val="000000"/>
          <w:sz w:val="24"/>
        </w:rPr>
        <w:t>) and originals or copies, certified or otherwise identified to our satisfaction, of such documents, corporate records, instruments and certificates of public officials as we have deemed necessary for the purposes of the opinions hereinafter expressed, and have reviewed such matters of law as we have deemed relevant hereto.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our examination, we have assumed the authenticity of documents submitted to us as originals, the conformity to authentic originals of documents submitted to us as copies, the truth, accuracy and completeness of the information, representations and warranties contained in the documents, corporate records, instruments, certificates and records we have reviewed, and the absence of any undisclosed material modifications to the agreements and instruments reviewed by us. We have also assumed the legal capacity of all natural persons and the genuineness of signatures (including electronic signatures). We have not independently established or verified any facts relevant to the opinion expressed herein, but have relied as to factual matters upon certificates of public officials and certificates, statements and representations of officers and other representatives of the Company (including the Certificate).</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4"/>
        </w:rPr>
      </w:pPr>
      <w:r>
        <w:rPr>
          <w:rFonts w:ascii="Times New Roman;serif" w:hAnsi="Times New Roman;serif"/>
          <w:b w:val="false"/>
          <w:color w:val="000000"/>
          <w:sz w:val="24"/>
        </w:rPr>
        <w:t xml:space="preserve">Based upon such examination and review, and subject to the foregoing and the other qualifications, assumptions and limitations set forth herein, we are of the opinion that all necessary corporate action on the part of the Company has been taken to authorize the issuance and sale of the Shares to be issued in accordance with the Plan and that, when (a) the Shares have been issued and sold as contemplated in the Registration Statement and related prospectus and in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accordance with the terms of the Plan and any applicable award agreement, and (b) where applicable, the consideration for the Shares specified in the Plan and any applicable award agreement has been received by the Company, the Shares will be validly issued, fully paid and nonassessable.</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We do not express any opinion herein with respect to the laws of any jurisdiction other than, subject to the limitations and assumptions contained herein, the General Corporation Law of the State of Delaware.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opinion is given as of the date hereof, and we assume no responsibility for updating this opinion to take into account any event, action or change in law, or in the interpretation thereof, occurring subsequent to the date hereof that may affect the validity of the opinion expressed herein. This opinion is limited to the specific issues addressed herein, and no opinion may be inferred or implied beyond that expressly stated herein.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We hereby consent to the filing of this opinion with the Commission as Exhibit 5.1 to the Registration Statement. In giving this consent, we do not thereby admit that we are in the category of persons whose consent is required under Section 7 of the Securities Act or the rules and regulations of the Commission promulgated thereunder.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Faegre Drinker Biddle &amp; Reath LLP</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FAEGRE DRINKER BIDDLE &amp; REATH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23.1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the Registration Statement (Form S-8) pertaining to the Workiva Inc. 2014 Equity Incentive Plan (As Amended and Restated May 28, 2026) of our reports dated February 19, 2026, with respect to the consolidated financial statements of Workiva Inc. and the effectiveness of internal control over financial reporting of Workiva Inc. included in its Annual Report (Form 10-K) for the year ended December 31, 2025, filed with the Securities and Exchange Commission.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Ernst &amp; Young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Chicago, Illinois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4, 2026</w:t>
      </w:r>
    </w:p>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564" w:type="dxa"/>
        <w:jc w:val="left"/>
        <w:tblInd w:w="0" w:type="dxa"/>
        <w:tblLayout w:type="fixed"/>
        <w:tblCellMar>
          <w:top w:w="28" w:type="dxa"/>
          <w:left w:w="28" w:type="dxa"/>
          <w:bottom w:w="28" w:type="dxa"/>
          <w:right w:w="28" w:type="dxa"/>
        </w:tblCellMar>
      </w:tblPr>
      <w:tblGrid>
        <w:gridCol w:w="3410"/>
        <w:gridCol w:w="154"/>
      </w:tblGrid>
      <w:tr>
        <w:trPr/>
        <w:tc>
          <w:tcPr>
            <w:tcW w:w="356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0"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 xml:space="preserve">WORKIVA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20"/>
        <w:gridCol w:w="1283"/>
        <w:gridCol w:w="1192"/>
        <w:gridCol w:w="1181"/>
        <w:gridCol w:w="1800"/>
        <w:gridCol w:w="1126"/>
        <w:gridCol w:w="1412"/>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0"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2"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0"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20" w:type="dxa"/>
            <w:tcBorders/>
            <w:shd w:fill="E7E7E2" w:val="clear"/>
            <w:vAlign w:val="center"/>
          </w:tcPr>
          <w:p>
            <w:pPr>
              <w:pStyle w:val="TableContents"/>
              <w:bidi w:val="0"/>
              <w:spacing w:before="0" w:after="283"/>
              <w:jc w:val="left"/>
              <w:rPr/>
            </w:pPr>
            <w:r>
              <w:rPr/>
              <w:t xml:space="preserve">Class A Common Stock, $0.001 par value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2" w:type="dxa"/>
            <w:tcBorders/>
            <w:shd w:fill="E7E7E2" w:val="clear"/>
            <w:vAlign w:val="center"/>
          </w:tcPr>
          <w:p>
            <w:pPr>
              <w:pStyle w:val="TableContents"/>
              <w:bidi w:val="0"/>
              <w:spacing w:before="0" w:after="283"/>
              <w:jc w:val="right"/>
              <w:rPr/>
            </w:pPr>
            <w:r>
              <w:rPr/>
              <w:t xml:space="preserve">3,900,000 </w:t>
            </w:r>
          </w:p>
        </w:tc>
        <w:tc>
          <w:tcPr>
            <w:tcW w:w="1181" w:type="dxa"/>
            <w:tcBorders/>
            <w:shd w:fill="E7E7E2" w:val="clear"/>
            <w:vAlign w:val="center"/>
          </w:tcPr>
          <w:p>
            <w:pPr>
              <w:pStyle w:val="TableContents"/>
              <w:bidi w:val="0"/>
              <w:spacing w:before="0" w:after="283"/>
              <w:jc w:val="right"/>
              <w:rPr/>
            </w:pPr>
            <w:r>
              <w:rPr/>
              <w:t xml:space="preserve">$ 58.49 </w:t>
            </w:r>
          </w:p>
        </w:tc>
        <w:tc>
          <w:tcPr>
            <w:tcW w:w="1800" w:type="dxa"/>
            <w:tcBorders/>
            <w:shd w:fill="E7E7E2" w:val="clear"/>
            <w:vAlign w:val="center"/>
          </w:tcPr>
          <w:p>
            <w:pPr>
              <w:pStyle w:val="TableContents"/>
              <w:bidi w:val="0"/>
              <w:spacing w:before="0" w:after="283"/>
              <w:jc w:val="right"/>
              <w:rPr/>
            </w:pPr>
            <w:r>
              <w:rPr/>
              <w:t xml:space="preserve">$ 228,111,000.00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2" w:type="dxa"/>
            <w:tcBorders/>
            <w:shd w:fill="E7E7E2" w:val="clear"/>
            <w:vAlign w:val="center"/>
          </w:tcPr>
          <w:p>
            <w:pPr>
              <w:pStyle w:val="TableContents"/>
              <w:bidi w:val="0"/>
              <w:spacing w:before="0" w:after="283"/>
              <w:jc w:val="right"/>
              <w:rPr/>
            </w:pPr>
            <w:r>
              <w:rPr/>
              <w:t xml:space="preserve">$ 31,502.13 </w:t>
            </w:r>
          </w:p>
        </w:tc>
      </w:tr>
      <w:tr>
        <w:trPr/>
        <w:tc>
          <w:tcPr>
            <w:tcW w:w="4686" w:type="dxa"/>
            <w:gridSpan w:val="5"/>
            <w:tcBorders/>
            <w:vAlign w:val="center"/>
          </w:tcPr>
          <w:p>
            <w:pPr>
              <w:pStyle w:val="TableContents"/>
              <w:bidi w:val="0"/>
              <w:spacing w:before="0" w:after="0"/>
              <w:ind w:left="0" w:right="0" w:hanging="0"/>
              <w:jc w:val="right"/>
              <w:rPr/>
            </w:pPr>
            <w:r>
              <w:rPr/>
              <w:t>Total Offering Amounts:</w:t>
            </w:r>
          </w:p>
        </w:tc>
        <w:tc>
          <w:tcPr>
            <w:tcW w:w="118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0"/>
              <w:ind w:left="0" w:right="0" w:hanging="0"/>
              <w:jc w:val="right"/>
              <w:rPr/>
            </w:pPr>
            <w:bookmarkStart w:id="4" w:name="MaxAggtOfferingPrice"/>
            <w:bookmarkEnd w:id="4"/>
            <w:r>
              <w:rPr/>
              <w:t xml:space="preserve">$ 228,111,000.00 </w:t>
            </w:r>
          </w:p>
        </w:tc>
        <w:tc>
          <w:tcPr>
            <w:tcW w:w="1126" w:type="dxa"/>
            <w:tcBorders/>
            <w:vAlign w:val="center"/>
          </w:tcPr>
          <w:p>
            <w:pPr>
              <w:pStyle w:val="TableContents"/>
              <w:bidi w:val="0"/>
              <w:spacing w:before="0" w:after="283"/>
              <w:jc w:val="left"/>
              <w:rPr>
                <w:sz w:val="4"/>
                <w:szCs w:val="4"/>
              </w:rPr>
            </w:pPr>
            <w:r>
              <w:rPr>
                <w:sz w:val="4"/>
                <w:szCs w:val="4"/>
              </w:rPr>
            </w:r>
          </w:p>
        </w:tc>
        <w:tc>
          <w:tcPr>
            <w:tcW w:w="141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$ 31,502.13 </w:t>
            </w:r>
          </w:p>
        </w:tc>
      </w:tr>
      <w:tr>
        <w:trPr/>
        <w:tc>
          <w:tcPr>
            <w:tcW w:w="4686" w:type="dxa"/>
            <w:gridSpan w:val="5"/>
            <w:tcBorders/>
            <w:vAlign w:val="center"/>
          </w:tcPr>
          <w:p>
            <w:pPr>
              <w:pStyle w:val="TableContents"/>
              <w:bidi w:val="0"/>
              <w:spacing w:before="0" w:after="0"/>
              <w:ind w:left="0" w:right="0" w:hanging="0"/>
              <w:jc w:val="right"/>
              <w:rPr/>
            </w:pPr>
            <w:r>
              <w:rPr/>
              <w:t xml:space="preserve">Total Fee Offsets: </w:t>
            </w:r>
          </w:p>
        </w:tc>
        <w:tc>
          <w:tcPr>
            <w:tcW w:w="118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686" w:type="dxa"/>
            <w:gridSpan w:val="5"/>
            <w:tcBorders/>
            <w:vAlign w:val="center"/>
          </w:tcPr>
          <w:p>
            <w:pPr>
              <w:pStyle w:val="TableContents"/>
              <w:bidi w:val="0"/>
              <w:spacing w:before="0" w:after="0"/>
              <w:ind w:left="0" w:right="0" w:hanging="0"/>
              <w:jc w:val="right"/>
              <w:rPr/>
            </w:pPr>
            <w:r>
              <w:rPr/>
              <w:t xml:space="preserve">Net Fee Due: </w:t>
            </w:r>
          </w:p>
        </w:tc>
        <w:tc>
          <w:tcPr>
            <w:tcW w:w="1181"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0"/>
              <w:ind w:left="0" w:right="0" w:hanging="0"/>
              <w:jc w:val="right"/>
              <w:rPr/>
            </w:pPr>
            <w:bookmarkStart w:id="7" w:name="NetFeeAmt"/>
            <w:bookmarkEnd w:id="7"/>
            <w:r>
              <w:rPr/>
              <w:t xml:space="preserve">$ 31,502.13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shall also cover any additional shares of Class A common stock of Workiva Inc. (the "Registrant" or the "Company") that become issuable under the Registrant's 2014 Equity Incentive Plan (the "2014 Plan") by reason of any stock dividend, stock split, recapitalization or other similar transaction effected without the Registrant's receipt of consideration that increases the number of the outstanding shares of the Registrant's Class A common stock. (2) Estimated in accordance with Rule 457(h) solely for the purpose of calculating the registration fee on the basis of $58.49 per share, the average of the high and low prices of the Registrant's Class A common stock as reported on the New York Stock Exchange on July 31, 2026.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45305/000144530526000016/wk-20251231.htm" TargetMode="External"/><Relationship Id="rId3" Type="http://schemas.openxmlformats.org/officeDocument/2006/relationships/hyperlink" Target="https://www.sec.gov/ix?doc=/Archives/edgar/data/0001445305/000144530526000030/wk-20260415.htm" TargetMode="External"/><Relationship Id="rId4" Type="http://schemas.openxmlformats.org/officeDocument/2006/relationships/hyperlink" Target="https://www.sec.gov/ix?doc=/Archives/edgar/data/1445305/000144530526000045/wk-20260331.htm" TargetMode="External"/><Relationship Id="rId5" Type="http://schemas.openxmlformats.org/officeDocument/2006/relationships/hyperlink" Target="https://www.sec.gov/ix?doc=/Archives/edgar/data/1445305/000144530526000045/wk-20260331.htm" TargetMode="External"/><Relationship Id="rId6" Type="http://schemas.openxmlformats.org/officeDocument/2006/relationships/hyperlink" Target="https://www.sec.gov/ix?doc=/Archives/edgar/data/0001445305/000144530526000060/wk-20260630.htm" TargetMode="External"/><Relationship Id="rId7" Type="http://schemas.openxmlformats.org/officeDocument/2006/relationships/hyperlink" Target="https://www.sec.gov/ix?doc=/Archives/edgar/data/0001445305/000144530526000060/wk-20260630.htm" TargetMode="External"/><Relationship Id="rId8" Type="http://schemas.openxmlformats.org/officeDocument/2006/relationships/hyperlink" Target="https://www.sec.gov/ix?doc=/Archives/edgar/data/1445305/000144530526000005/wk-20260127.htm" TargetMode="External"/><Relationship Id="rId9" Type="http://schemas.openxmlformats.org/officeDocument/2006/relationships/hyperlink" Target="https://www.sec.gov/ix?doc=/Archives/edgar/data/1445305/000144530526000046/wk-20260430.htm" TargetMode="External"/><Relationship Id="rId10" Type="http://schemas.openxmlformats.org/officeDocument/2006/relationships/hyperlink" Target="https://www.sec.gov/ix?doc=/Archives/edgar/data/1445305/000144530526000046/wk-20260430.htm" TargetMode="External"/><Relationship Id="rId11" Type="http://schemas.openxmlformats.org/officeDocument/2006/relationships/hyperlink" Target="https://www.sec.gov/ix?doc=/Archives/edgar/data/1445305/000144530526000046/wk-20260430.htm" TargetMode="External"/><Relationship Id="rId12" Type="http://schemas.openxmlformats.org/officeDocument/2006/relationships/hyperlink" Target="https://www.sec.gov/ix?doc=/Archives/edgar/data/1445305/000144530526000050/wk-20260528.htm" TargetMode="External"/><Relationship Id="rId13" Type="http://schemas.openxmlformats.org/officeDocument/2006/relationships/hyperlink" Target="https://www.sec.gov/ix?doc=/Archives/edgar/data/1445305/000144530526000050/wk-20260528.htm" TargetMode="External"/><Relationship Id="rId14" Type="http://schemas.openxmlformats.org/officeDocument/2006/relationships/hyperlink" Target="https://www.sec.gov/Archives/edgar/data/1445305/000144530526000016/exhibit404-descriptionofse.htm" TargetMode="External"/><Relationship Id="rId15" Type="http://schemas.openxmlformats.org/officeDocument/2006/relationships/hyperlink" Target="https://www.sec.gov/Archives/edgar/data/1445305/000144530526000050/a101workivainc2014equityin.htm" TargetMode="External"/><Relationship Id="rId16" Type="http://schemas.openxmlformats.org/officeDocument/2006/relationships/hyperlink" Target="https://www.sec.gov/Archives/edgar/data/1445305/000144530526000050/a101workivainc2014equityin.htm" TargetMode="External"/><Relationship Id="rId17" Type="http://schemas.openxmlformats.org/officeDocument/2006/relationships/hyperlink" Target="https://www.sec.gov/Archives/edgar/data/1445305/000144530526000050/a101workivainc2014equityin.htm" TargetMode="External"/><Relationship Id="rId18" Type="http://schemas.openxmlformats.org/officeDocument/2006/relationships/hyperlink" Target="https://www.sec.gov/Archives/edgar/data/1445305/000144530526000050/a101workivainc2014equityin.htm" TargetMode="External"/><Relationship Id="rId19" Type="http://schemas.openxmlformats.org/officeDocument/2006/relationships/hyperlink" Target="https://www.sec.gov/Archives/edgar/data/1445305/000144530526000050/a101workivainc2014equityin.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3473</Words>
  <Characters>19008</Characters>
  <CharactersWithSpaces>22392</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