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WORKIVA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ectPr>
          <w:pgSz w:w="11900" w:h="16838" w:orient="portrait"/>
          <w:cols w:equalWidth="0" w:num="1">
            <w:col w:w="11240"/>
          </w:cols>
          <w:pgMar w:left="320" w:top="1073" w:right="339" w:bottom="1440" w:gutter="0" w:footer="0" w:header="0"/>
        </w:sectPr>
      </w:pPr>
    </w:p>
    <w:p>
      <w:pPr>
        <w:spacing w:after="0" w:line="27"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001-36773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47-2509828</w:t>
      </w:r>
    </w:p>
    <w:p>
      <w:pPr>
        <w:spacing w:after="0" w:line="15" w:lineRule="exact"/>
        <w:rPr>
          <w:sz w:val="24"/>
          <w:szCs w:val="24"/>
          <w:color w:val="auto"/>
        </w:rPr>
      </w:pPr>
    </w:p>
    <w:p>
      <w:pPr>
        <w:sectPr>
          <w:pgSz w:w="11900" w:h="16838" w:orient="portrait"/>
          <w:cols w:equalWidth="0" w:num="3">
            <w:col w:w="4520" w:space="720"/>
            <w:col w:w="2960" w:space="720"/>
            <w:col w:w="2320"/>
          </w:cols>
          <w:pgMar w:left="320" w:top="1073" w:right="3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 w:lineRule="exact"/>
        <w:rPr>
          <w:sz w:val="24"/>
          <w:szCs w:val="24"/>
          <w:color w:val="auto"/>
        </w:rPr>
      </w:pPr>
    </w:p>
    <w:p>
      <w:pPr>
        <w:sectPr>
          <w:pgSz w:w="11900" w:h="16838" w:orient="portrait"/>
          <w:cols w:equalWidth="0" w:num="3">
            <w:col w:w="4000" w:space="720"/>
            <w:col w:w="2580" w:space="720"/>
            <w:col w:w="3220"/>
          </w:cols>
          <w:pgMar w:left="320" w:top="1073" w:right="339" w:bottom="1440" w:gutter="0" w:footer="0" w:header="0"/>
          <w:type w:val="continuous"/>
        </w:sectPr>
      </w:pPr>
    </w:p>
    <w:p>
      <w:pPr>
        <w:ind w:left="1460"/>
        <w:spacing w:after="0" w:line="211" w:lineRule="auto"/>
        <w:rPr>
          <w:sz w:val="20"/>
          <w:szCs w:val="20"/>
          <w:color w:val="auto"/>
        </w:rPr>
      </w:pPr>
      <w:r>
        <w:rPr>
          <w:rFonts w:ascii="Times New Roman" w:cs="Times New Roman" w:eastAsia="Times New Roman" w:hAnsi="Times New Roman"/>
          <w:sz w:val="16"/>
          <w:szCs w:val="16"/>
          <w:color w:val="auto"/>
        </w:rPr>
        <w:t>organization)</w:t>
      </w:r>
    </w:p>
    <w:p>
      <w:pPr>
        <w:sectPr>
          <w:pgSz w:w="11900" w:h="16838" w:orient="portrait"/>
          <w:cols w:equalWidth="0" w:num="1">
            <w:col w:w="11240"/>
          </w:cols>
          <w:pgMar w:left="320" w:top="1073" w:right="33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2900 University Blvd</w:t>
      </w:r>
    </w:p>
    <w:p>
      <w:pPr>
        <w:ind w:left="5080"/>
        <w:spacing w:after="0" w:line="211" w:lineRule="auto"/>
        <w:rPr>
          <w:sz w:val="20"/>
          <w:szCs w:val="20"/>
          <w:color w:val="auto"/>
        </w:rPr>
      </w:pPr>
      <w:r>
        <w:rPr>
          <w:rFonts w:ascii="Times New Roman" w:cs="Times New Roman" w:eastAsia="Times New Roman" w:hAnsi="Times New Roman"/>
          <w:sz w:val="16"/>
          <w:szCs w:val="16"/>
          <w:b w:val="1"/>
          <w:bCs w:val="1"/>
          <w:color w:val="auto"/>
        </w:rPr>
        <w:t>Ames, IA 50010</w:t>
      </w:r>
    </w:p>
    <w:p>
      <w:pPr>
        <w:ind w:left="5120"/>
        <w:spacing w:after="0"/>
        <w:rPr>
          <w:sz w:val="20"/>
          <w:szCs w:val="20"/>
          <w:color w:val="auto"/>
        </w:rPr>
      </w:pPr>
      <w:r>
        <w:rPr>
          <w:rFonts w:ascii="Times New Roman" w:cs="Times New Roman" w:eastAsia="Times New Roman" w:hAnsi="Times New Roman"/>
          <w:sz w:val="16"/>
          <w:szCs w:val="16"/>
          <w:b w:val="1"/>
          <w:bCs w:val="1"/>
          <w:color w:val="auto"/>
        </w:rPr>
        <w:t>(888) 275-3125</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(888) 275-3125</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3" w:lineRule="exact"/>
        <w:rPr>
          <w:sz w:val="24"/>
          <w:szCs w:val="24"/>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6"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182"/>
        </w:trPr>
        <w:tc>
          <w:tcPr>
            <w:tcW w:w="740" w:type="dxa"/>
            <w:vAlign w:val="bottom"/>
          </w:tcPr>
          <w:p>
            <w:pPr>
              <w:spacing w:after="0"/>
              <w:rPr>
                <w:sz w:val="15"/>
                <w:szCs w:val="15"/>
                <w:color w:val="auto"/>
              </w:rPr>
            </w:pPr>
          </w:p>
        </w:tc>
        <w:tc>
          <w:tcPr>
            <w:tcW w:w="12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960" w:type="dxa"/>
            <w:vAlign w:val="bottom"/>
          </w:tcPr>
          <w:p>
            <w:pPr>
              <w:spacing w:after="0"/>
              <w:rPr>
                <w:sz w:val="15"/>
                <w:szCs w:val="15"/>
                <w:color w:val="auto"/>
              </w:rPr>
            </w:pPr>
          </w:p>
        </w:tc>
        <w:tc>
          <w:tcPr>
            <w:tcW w:w="4260" w:type="dxa"/>
            <w:vAlign w:val="bottom"/>
            <w:gridSpan w:val="3"/>
          </w:tcPr>
          <w:p>
            <w:pPr>
              <w:jc w:val="center"/>
              <w:ind w:right="60"/>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31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29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Class A common stock, par value $.001</w:t>
            </w:r>
          </w:p>
        </w:tc>
        <w:tc>
          <w:tcPr>
            <w:tcW w:w="1540" w:type="dxa"/>
            <w:vAlign w:val="bottom"/>
          </w:tcPr>
          <w:p>
            <w:pPr>
              <w:spacing w:after="0"/>
              <w:rPr>
                <w:sz w:val="20"/>
                <w:szCs w:val="20"/>
                <w:color w:val="auto"/>
              </w:rPr>
            </w:pPr>
          </w:p>
        </w:tc>
        <w:tc>
          <w:tcPr>
            <w:tcW w:w="2720" w:type="dxa"/>
            <w:vAlign w:val="bottom"/>
            <w:gridSpan w:val="2"/>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w w:val="98"/>
              </w:rPr>
              <w:t>WK</w:t>
            </w:r>
          </w:p>
        </w:tc>
        <w:tc>
          <w:tcPr>
            <w:tcW w:w="8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12b-2 of the Exchange Act.</w:t>
      </w:r>
    </w:p>
    <w:p>
      <w:pPr>
        <w:spacing w:after="0" w:line="68" w:lineRule="exact"/>
        <w:rPr>
          <w:sz w:val="24"/>
          <w:szCs w:val="24"/>
          <w:color w:val="auto"/>
        </w:rPr>
      </w:pPr>
    </w:p>
    <w:p>
      <w:pPr>
        <w:spacing w:after="0" w:line="184" w:lineRule="exact"/>
        <w:tabs>
          <w:tab w:leader="none" w:pos="19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2 -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Item 2.02 - Results of Operations and Financial Condition</w:t>
      </w:r>
    </w:p>
    <w:p>
      <w:pPr>
        <w:spacing w:after="0" w:line="11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On July 31, 2025, Workiva Inc. (the "Company") issued a press release announcing its results for the quarter ended June 30, 2025. A copy of the press release is attached as Exhibit 99.1 to this current report on Form 8-K and is incorporated by reference herein.</w:t>
      </w:r>
    </w:p>
    <w:p>
      <w:pPr>
        <w:spacing w:after="0" w:line="3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3"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Section 9 -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Item 9.01 - Financial Statements and Exhibits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The following exhibits are being filed herewith:</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Number</w:t>
            </w:r>
          </w:p>
        </w:tc>
        <w:tc>
          <w:tcPr>
            <w:tcW w:w="9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23"/>
                <w:szCs w:val="23"/>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entitled "Workiva Inc. Announces Second Quarter 2025 Financial Results" dated July 31, 2025</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spacing w:after="0"/>
              <w:rPr>
                <w:sz w:val="24"/>
                <w:szCs w:val="24"/>
                <w:color w:val="auto"/>
              </w:rPr>
            </w:pPr>
          </w:p>
        </w:tc>
        <w:tc>
          <w:tcPr>
            <w:tcW w:w="78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5"/>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31st day of July, 2025.</w:t>
      </w:r>
    </w:p>
    <w:p>
      <w:pPr>
        <w:spacing w:after="0" w:line="22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0"/>
          <w:szCs w:val="20"/>
          <w:b w:val="1"/>
          <w:bCs w:val="1"/>
          <w:color w:val="auto"/>
        </w:rPr>
        <w:t>WORKIVA INC.</w:t>
      </w:r>
    </w:p>
    <w:p>
      <w:pPr>
        <w:spacing w:after="0" w:line="292" w:lineRule="exact"/>
        <w:rPr>
          <w:sz w:val="20"/>
          <w:szCs w:val="20"/>
          <w:color w:val="auto"/>
        </w:rPr>
      </w:pPr>
    </w:p>
    <w:tbl>
      <w:tblPr>
        <w:tblLayout w:type="fixed"/>
        <w:tblInd w:w="666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Jill Klindt</w:t>
            </w:r>
          </w:p>
        </w:tc>
        <w:tc>
          <w:tcPr>
            <w:tcW w:w="2060" w:type="dxa"/>
            <w:vAlign w:val="bottom"/>
          </w:tcPr>
          <w:p>
            <w:pPr>
              <w:spacing w:after="0"/>
              <w:rPr>
                <w:sz w:val="17"/>
                <w:szCs w:val="17"/>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Klindt</w:t>
            </w:r>
          </w:p>
        </w:tc>
      </w:tr>
      <w:tr>
        <w:trPr>
          <w:trHeight w:val="184"/>
        </w:trPr>
        <w:tc>
          <w:tcPr>
            <w:tcW w:w="10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30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Executive Vice President, Chief Financial</w:t>
            </w:r>
          </w:p>
        </w:tc>
      </w:tr>
      <w:tr>
        <w:trPr>
          <w:trHeight w:val="234"/>
        </w:trPr>
        <w:tc>
          <w:tcPr>
            <w:tcW w:w="10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and Treasurer</w:t>
            </w:r>
          </w:p>
        </w:tc>
      </w:tr>
    </w:tbl>
    <w:p>
      <w:pPr>
        <w:sectPr>
          <w:pgSz w:w="11900" w:h="16838" w:orient="portrait"/>
          <w:cols w:equalWidth="0" w:num="1">
            <w:col w:w="11020"/>
          </w:cols>
          <w:pgMar w:left="320" w:top="927" w:right="559" w:bottom="1440" w:gutter="0" w:footer="0" w:header="0"/>
        </w:sectPr>
      </w:pPr>
    </w:p>
    <w:bookmarkStart w:id="4" w:name="page5"/>
    <w:bookmarkEnd w:id="4"/>
    <w:p>
      <w:pPr>
        <w:spacing w:after="0" w:line="3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474470"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511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Workiva Inc. Announces Second Quarter 2025 Financial Results</w:t>
      </w:r>
    </w:p>
    <w:p>
      <w:pPr>
        <w:spacing w:after="0" w:line="20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Increased Q2 2025 subscription &amp; support revenue by 23% over Q2 2024</w:t>
      </w:r>
    </w:p>
    <w:p>
      <w:pPr>
        <w:spacing w:after="0" w:line="2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revenue of $215 million in Q2 2025, representing 21% year-over-year growth</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GAAP operating margin was (10.2)%, non-GAAP operating margin was 3.8%</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Repurchased $10 million of Class A common stock under the 2024 share repurchase plan</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Customers with annual contract value over $500,000 grew 35% year-over-year</w:t>
      </w:r>
    </w:p>
    <w:p>
      <w:pPr>
        <w:spacing w:after="0" w:line="3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NEW YORK - July 31, 2025 </w:t>
      </w:r>
      <w:r>
        <w:rPr>
          <w:rFonts w:ascii="Times New Roman" w:cs="Times New Roman" w:eastAsia="Times New Roman" w:hAnsi="Times New Roman"/>
          <w:sz w:val="20"/>
          <w:szCs w:val="20"/>
          <w:color w:val="auto"/>
        </w:rPr>
        <w:t>– Workiva Inc. (NYSE:WK), the platform that powers transparency, accountability, and trust, today announced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results for its second quarter ended June 30, 2025.</w:t>
      </w:r>
    </w:p>
    <w:p>
      <w:pPr>
        <w:spacing w:after="0" w:line="4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delivered another quarter of solid financial performance, powered by the continued demand for our broad portfolio of solutions and unified platform," said Julie Iskow, President &amp; Chief Executive Officer. "Our business results and guidance raise reflects continued execution on our strategy and a more disciplined approach to margin expansion."</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second quarter results demonstrate the durability of our business as we beat the high end of guidance for both revenue and operating margin," said Jill Klindt, Chief Financial Officer. "Subscription revenue grew by 23%, and contracts valued over $500 thousand dollars were up 35% year-over-year."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Second Quarter 2025 Financial Results</w:t>
      </w:r>
    </w:p>
    <w:p>
      <w:pPr>
        <w:spacing w:after="0" w:line="229" w:lineRule="exact"/>
        <w:rPr>
          <w:sz w:val="20"/>
          <w:szCs w:val="20"/>
          <w:color w:val="auto"/>
        </w:rPr>
      </w:pPr>
    </w:p>
    <w:p>
      <w:pPr>
        <w:jc w:val="both"/>
        <w:ind w:left="660" w:hanging="328"/>
        <w:spacing w:after="0" w:line="26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 </w:t>
      </w:r>
      <w:r>
        <w:rPr>
          <w:rFonts w:ascii="Times New Roman" w:cs="Times New Roman" w:eastAsia="Times New Roman" w:hAnsi="Times New Roman"/>
          <w:sz w:val="20"/>
          <w:szCs w:val="20"/>
          <w:color w:val="auto"/>
        </w:rPr>
        <w:t>Total revenue for the second quarter of 2025 reached $215 million, an increase of 21% from $178 million in the second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of 2024. Subscription and support revenue contributed $198 million, up 23% versus the second quarter of 2024. Professional services revenue was $17 million, flat from the second quarter of 2024.</w:t>
      </w:r>
    </w:p>
    <w:p>
      <w:pPr>
        <w:spacing w:after="0" w:line="53"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Gross Margin: </w:t>
      </w:r>
      <w:r>
        <w:rPr>
          <w:rFonts w:ascii="Times New Roman" w:cs="Times New Roman" w:eastAsia="Times New Roman" w:hAnsi="Times New Roman"/>
          <w:sz w:val="20"/>
          <w:szCs w:val="20"/>
          <w:color w:val="auto"/>
        </w:rPr>
        <w:t>GAAP gross margin was 77.0% versus 76.8% in the second quarter of 2024. Non-GAAP gross margin was 79.1%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78.3% in the second quarter of 2024.</w:t>
      </w:r>
    </w:p>
    <w:p>
      <w:pPr>
        <w:spacing w:after="0" w:line="43"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Operating Margin: </w:t>
      </w:r>
      <w:r>
        <w:rPr>
          <w:rFonts w:ascii="Times New Roman" w:cs="Times New Roman" w:eastAsia="Times New Roman" w:hAnsi="Times New Roman"/>
          <w:sz w:val="20"/>
          <w:szCs w:val="20"/>
          <w:color w:val="auto"/>
        </w:rPr>
        <w:t>GAAP operating margin for the second quarter of 2025 was (10.2)% compared to (13.1)% in the prior year's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second quarter. Non-GAAP operating margin was 3.8% compared to 2.0% in the second quarter of 2024.</w:t>
      </w:r>
    </w:p>
    <w:p>
      <w:pPr>
        <w:spacing w:after="0" w:line="57"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GAAP Net Loss: </w:t>
      </w:r>
      <w:r>
        <w:rPr>
          <w:rFonts w:ascii="Times New Roman" w:cs="Times New Roman" w:eastAsia="Times New Roman" w:hAnsi="Times New Roman"/>
          <w:sz w:val="20"/>
          <w:szCs w:val="20"/>
          <w:color w:val="auto"/>
        </w:rPr>
        <w:t>GAAP net loss for the second quarter of 2025 was $(19) million compared with a net loss of $(18)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year's second quarter. GAAP net loss per basic and diluted share was $(0.35) compared with a net loss per basic and diluted share of $(0.32) in the second quarter of 2024.</w:t>
      </w:r>
    </w:p>
    <w:p>
      <w:pPr>
        <w:spacing w:after="0" w:line="67" w:lineRule="exact"/>
        <w:rPr>
          <w:rFonts w:ascii="Times New Roman" w:cs="Times New Roman" w:eastAsia="Times New Roman" w:hAnsi="Times New Roman"/>
          <w:sz w:val="20"/>
          <w:szCs w:val="20"/>
          <w:color w:val="auto"/>
        </w:rPr>
      </w:pPr>
    </w:p>
    <w:p>
      <w:pPr>
        <w:jc w:val="both"/>
        <w:ind w:left="660" w:hanging="328"/>
        <w:spacing w:after="0" w:line="264"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Non-GAAP Net Income: </w:t>
      </w:r>
      <w:r>
        <w:rPr>
          <w:rFonts w:ascii="Times New Roman" w:cs="Times New Roman" w:eastAsia="Times New Roman" w:hAnsi="Times New Roman"/>
          <w:sz w:val="20"/>
          <w:szCs w:val="20"/>
          <w:color w:val="auto"/>
        </w:rPr>
        <w:t>Non-GAAP net income for the second quarter of 2025 was $11 million compared with non-GAAP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income of $9 million in the prior year's second quarter. Non-GAAP net income per basic share and diluted share in the second quarter of 2025 was $0.20 and $0.19, respectively, compared with non-GAAP net income per basic share and diluted share of $0.17 and $0.16, respectively, in the second quarter of 2024.</w:t>
      </w:r>
    </w:p>
    <w:p>
      <w:pPr>
        <w:spacing w:after="0" w:line="68" w:lineRule="exact"/>
        <w:rPr>
          <w:rFonts w:ascii="Times New Roman" w:cs="Times New Roman" w:eastAsia="Times New Roman" w:hAnsi="Times New Roman"/>
          <w:sz w:val="20"/>
          <w:szCs w:val="20"/>
          <w:color w:val="auto"/>
        </w:rPr>
      </w:pPr>
    </w:p>
    <w:p>
      <w:pPr>
        <w:jc w:val="both"/>
        <w:ind w:left="660" w:right="20" w:hanging="328"/>
        <w:spacing w:after="0" w:line="260"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Liquidity: </w:t>
      </w:r>
      <w:r>
        <w:rPr>
          <w:rFonts w:ascii="Times New Roman" w:cs="Times New Roman" w:eastAsia="Times New Roman" w:hAnsi="Times New Roman"/>
          <w:sz w:val="20"/>
          <w:szCs w:val="20"/>
          <w:color w:val="auto"/>
        </w:rPr>
        <w:t>As of June 30, 2025, Workiva had cash, cash equivalents, and marketable securities totaling $814 million, compared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$816 million as of December 31, 2024. Workiva had $71 million aggregate principal amount of 1.125% convertible senior notes due in 2026, $702 million aggregate principal amount of 1.250% convertible senior notes due in 2028, and $14 million of finance lease obligations outstanding as of June 30,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Key Metrics and Recent Business Highlights</w:t>
      </w:r>
    </w:p>
    <w:p>
      <w:pPr>
        <w:spacing w:after="0" w:line="121"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Customers: </w:t>
      </w:r>
      <w:r>
        <w:rPr>
          <w:rFonts w:ascii="Times New Roman" w:cs="Times New Roman" w:eastAsia="Times New Roman" w:hAnsi="Times New Roman"/>
          <w:sz w:val="20"/>
          <w:szCs w:val="20"/>
          <w:color w:val="auto"/>
        </w:rPr>
        <w:t>Workiva had 6,467 customers as of June 30, 2025, a net increase of 320 customers from June 30, 2024.</w:t>
      </w:r>
    </w:p>
    <w:p>
      <w:pPr>
        <w:spacing w:after="0" w:line="121" w:lineRule="exact"/>
        <w:rPr>
          <w:rFonts w:ascii="Times New Roman" w:cs="Times New Roman" w:eastAsia="Times New Roman" w:hAnsi="Times New Roman"/>
          <w:sz w:val="20"/>
          <w:szCs w:val="20"/>
          <w:color w:val="auto"/>
        </w:rPr>
      </w:pPr>
    </w:p>
    <w:p>
      <w:pPr>
        <w:ind w:left="660" w:right="20" w:hanging="328"/>
        <w:spacing w:after="0" w:line="27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Retention Rate: </w:t>
      </w:r>
      <w:r>
        <w:rPr>
          <w:rFonts w:ascii="Times New Roman" w:cs="Times New Roman" w:eastAsia="Times New Roman" w:hAnsi="Times New Roman"/>
          <w:sz w:val="20"/>
          <w:szCs w:val="20"/>
          <w:color w:val="auto"/>
        </w:rPr>
        <w:t>As of June 30, 2025, Workiva's gross retention rate was 97%, and the net retention rate was 114%. Net retention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includes changes in both solutions and pricing for existing customers.</w:t>
      </w:r>
    </w:p>
    <w:p>
      <w:pPr>
        <w:spacing w:after="0" w:line="57"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Large Contracts: </w:t>
      </w:r>
      <w:r>
        <w:rPr>
          <w:rFonts w:ascii="Times New Roman" w:cs="Times New Roman" w:eastAsia="Times New Roman" w:hAnsi="Times New Roman"/>
          <w:sz w:val="20"/>
          <w:szCs w:val="20"/>
          <w:color w:val="auto"/>
        </w:rPr>
        <w:t>As of June 30, 2025, Workiva had 2,241 customers with an annual contract value (“ACV”) of more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$100,000, up 27% from 1,768 customers at June 30, 2024. Workiva had 488 customers with an ACV of more than $300,000, up 37% from 356 customers in the second quarter of 2024. Workiva had 208 customers with an ACV of more than $500,000, up 35% from 154 customers in the second quarter of 2024.</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4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Share Repurchase Plan: </w:t>
      </w:r>
      <w:r>
        <w:rPr>
          <w:rFonts w:ascii="Times New Roman" w:cs="Times New Roman" w:eastAsia="Times New Roman" w:hAnsi="Times New Roman"/>
          <w:sz w:val="20"/>
          <w:szCs w:val="20"/>
          <w:color w:val="auto"/>
        </w:rPr>
        <w:t>On July 30, 2024, our board of directors authorized a share repurchase plan for up to $100 million of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outstanding Class A common stock. During the second quarter of 2025, Workiva purchased approximately 132,000 shares for $10 million under the plan. As of June 30, 2025, $49.9 million remains available under the plan for future share repurchases.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Outlook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31, 2025, Workiva is providing guidance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2025 Guidance</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is expected to be in the range of $218 million to $220 million.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margin is expected to be in the range of (7.4)% to (6.4)%</w:t>
      </w:r>
    </w:p>
    <w:p>
      <w:pPr>
        <w:sectPr>
          <w:pgSz w:w="11900" w:h="16838" w:orient="portrait"/>
          <w:cols w:equalWidth="0" w:num="1">
            <w:col w:w="11240"/>
          </w:cols>
          <w:pgMar w:left="320" w:top="1440" w:right="339" w:bottom="0" w:gutter="0" w:footer="0" w:header="0"/>
        </w:sectPr>
      </w:pPr>
    </w:p>
    <w:bookmarkStart w:id="5" w:name="page6"/>
    <w:bookmarkEnd w:id="5"/>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operating margin is expected to be in the range of 7.0% to 8.0%</w:t>
      </w:r>
    </w:p>
    <w:p>
      <w:pPr>
        <w:spacing w:after="0" w:line="2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net loss per basic share is expected to be in the range of $(0.18) to $(0.14) using 56.4 million shares.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net income per diluted share is expected to be in the range of $0.37 to $0.41 using 58.0 million shares.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2025 Guidance:</w:t>
      </w:r>
    </w:p>
    <w:p>
      <w:pPr>
        <w:spacing w:after="0" w:line="26"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is expected to be in the range of $870 million to $873 million.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margin is expected to be in the range of (7.1)% to (6.6)%.</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operating margin is expected to be in the range of 7.0% to 7.5%.</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net loss per basic share is expected to be in the range of $(0.79) to $(0.72) using 56.4 million shares.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net income per diluted share is expected to be in the range of $1.31 to $1.38 using 59.5 million shares.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 margin is expected to be approximately 10.5%.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Departure of Chief Financial Officer</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Jill Klindt is stepping down from her role as Executive Vice President, Chief Financial Officer and Treasurer. The Company expects her to remain as CFO through December 2025 or at such earlier date as a successor is appointed.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Quarterly Conference Call</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Workiva will host a webcast today at 5:00 p.m. Eastern Time to review the Company’s financial results for the second quarter 2025, in addition to discussing the Company’s outlook for the third quarter and full year 2025. The call can be accessed by dialing 1-833-630-1956 (U.S. domestic) or 1-412-317-1837 (international). Additionally, a live webcast and replay will be available at https://investor.workiva.com/news-events/events.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Workiva</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Workiva Inc. (NYSE: WK) powers transparency, accountability, and trust. Finance, accounting, sustainability, risk, and audit teams from more than 6,400 organizations worldwide, including over 80% of FORTUNE® 1,000 companies, rely on Workiva for their mission-critical work. We transform how customers connect data, unify processes, and empower teams in a secure, audit-ready, AI-powered, collaborative platform. Learn more at workiva.com.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Financial Measures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non-GAAP adjustments referenced herein relate to the exclusion of stock-based compensation and amortization of acquisition-related intangible assets. A reconciliation of GAAP to non-GAAP historical financial measures has been provided in Table I at the end of this press release. A reconciliation of GAAP to non-GAAP guidance has been provided in Table II at the end of this press release.</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Workiva believes that the use of non-GAAP gross profit and gross margin, non-GAAP income from operations, non-GAAP net income, non-GAAP net income per share, free cash flow and free cash flow margin is helpful to its investors. These measures, which are referred to as non-GAAP financial measures, are not prepared in accordance with generally accepted accounting principles in the United States, or GAAP. Workiva’s management uses these non-GAAP financial measures as tools for financial and operational decision making and for evaluating Workiva’s own operating results over different periods of time.</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Non-GAAP gross margin is the ratio calculated by dividing non-GAAP gross profit by revenues. Non-GAAP gross profit is calculated by excluding stock-based compensation expense attributable to cost of revenues from gross profit. Non-GAAP income from operations is calculated by excluding stock-based compensation expense and amortization expense for acquisition-related intangible assets from loss from operations. Non-GAAP net income is calculated by excluding stock-based compensation expense, net of tax and amortization expense for acquisition-related intangible assets from net loss. Non-GAAP net income per share is calculated by dividing non-GAAP net income by the weighted- average shares outstanding as presented in the calculation of GAAP net loss per share. Because of varying available valuation methodologies, subjective assumptions and the variety of equity instruments that can impact a company’s non-cash expenses, Workiva believes that providing non-GAAP financial measures that exclude stock-based compensation expense allows for more meaningful comparisons between its operating results from period to period. For business combinations, we generally allocate a portion of the purchase price to intangible assets. The amount of the allocation is based on estimates and assumptions made by management and is subject to amortization. The amount of purchase price allocated to intangible assets and the term of its related amortization can vary significantly and are unique to each acquisition and thus we do not believe they are reflective of ongoing operations.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Free cash flow, a non-GAAP measure, represents cash flow from operating activities less purchase of property and equipment. Free cash flow margin is calculated by dividing free cash flow by total revenue. We consider free cash flow and free cash flow margin to be liquidity measures that provide useful information to investors about the amount of cash generated or used by the business.</w:t>
      </w:r>
    </w:p>
    <w:p>
      <w:pPr>
        <w:spacing w:after="0" w:line="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Non-GAAP financial measures may not provide information that is directly comparable to that provided by other companies in Workiva’s industry, as other companies in the industry may calculate non-GAAP financial results differently. In addition, there are limitations in using non-GAAP financial measures because the non-GAAP financial measures are not prepared in accordance with GAAP, may be different from non-GAAP financial measures used by other companies and exclude expenses that may have a material impact on Workiva’s reported financial results. Further, stock-based compensation expense has been and will continue to be for the foreseeable future a significant recurring expense in Workiva’s business and an important part of the compensation provided to its employees. The presentation of non-GAAP financial information is not meant to be considered in isolation or as a substitute for the directly comparable financial measures prepared in accordance with GAAP. Investors should review the reconciliation of non-GAAP financial measures to the comparable GAAP financial measures included below, and not rely on any single financial measure to evaluate Workiva’s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Certain statements in this press release are "forward-looking statements" within the meaning of Section 21E of the Securities Exchange Act of 1934, as amended, and are subject to the safe harbor created thereby. These statements relate to future events or the Company’s future financial performance and involve known and unknown risks, uncertainties and other factors that may cause the actual results, levels of activity, performance or achievements of the Company or its industry to be materially different from those expressed or implied by any</w:t>
      </w:r>
    </w:p>
    <w:p>
      <w:pPr>
        <w:sectPr>
          <w:pgSz w:w="11900" w:h="16838" w:orient="portrait"/>
          <w:cols w:equalWidth="0" w:num="1">
            <w:col w:w="11240"/>
          </w:cols>
          <w:pgMar w:left="320" w:top="118" w:right="339" w:bottom="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20"/>
          <w:szCs w:val="20"/>
          <w:color w:val="auto"/>
        </w:rPr>
        <w:t>forward-looking statements. In particular, statements about the Company’s expectations, beliefs, plans, objectives, assumptions, future events or future performance contained in this press release are forward-looking statements. In some cases, forward-looking statements can be identified by terminology such as "may," "will," "could," "would," "should," "expect," "plan," "anticipate," "intend," "believe," "estimate," "predict," "potential," "outlook," "guidance," "target," "goal," "project," "continue to," "confident," or the negative of those terms or other comparable terminology.</w:t>
      </w:r>
    </w:p>
    <w:p>
      <w:pPr>
        <w:spacing w:after="0" w:line="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Please see the Company’s documents filed or to be filed with the Securities and Exchange Commission, including the Company’s annual reports filed on Form 10-K and quarterly reports on Form 10-Q, and any amendments thereto for a discussion of certain important risk factors that relate to forward-looking statements contained in this report. The Company has based these forward-looking statements on its current expectations, assumptions, estimates and projections. While the Company believes these expectations, assumptions, estimates and projections are reasonable, such forward-looking statements are only predictions and involve known and unknown risks and uncertainties, many of which are beyond the Company’s control. These and other important factors may cause actual results, performance or achievements to differ materially from those expressed or implied by these forward-looking statements. Any forward-looking statements are made only as of the date hereof, and unless otherwise required by applicable securities laws, the Company disclaims any intention or obligation to update or revise any forward-looking statements, whether as a result of new information, future events or otherwise.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118" w:right="339" w:bottom="1440" w:gutter="0" w:footer="0" w:header="0"/>
        </w:sectPr>
      </w:pPr>
    </w:p>
    <w:p>
      <w:pPr>
        <w:spacing w:after="0" w:line="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Yogita Shah</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Workiva Inc.</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investor@workiva.com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Mandi McReynolds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Workiva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press@workiva.com</w:t>
      </w:r>
    </w:p>
    <w:p>
      <w:pPr>
        <w:spacing w:after="0" w:line="200" w:lineRule="exact"/>
        <w:rPr>
          <w:sz w:val="20"/>
          <w:szCs w:val="20"/>
          <w:color w:val="auto"/>
        </w:rPr>
      </w:pPr>
    </w:p>
    <w:p>
      <w:pPr>
        <w:sectPr>
          <w:pgSz w:w="11900" w:h="16838" w:orient="portrait"/>
          <w:cols w:equalWidth="0" w:num="2">
            <w:col w:w="7280" w:space="720"/>
            <w:col w:w="3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8"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160" w:type="dxa"/>
            <w:vAlign w:val="bottom"/>
            <w:gridSpan w:val="10"/>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10"/>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Pr>
          <w:p>
            <w:pPr>
              <w:spacing w:after="0"/>
              <w:rPr>
                <w:sz w:val="20"/>
                <w:szCs w:val="20"/>
                <w:color w:val="auto"/>
              </w:rPr>
            </w:pPr>
          </w:p>
        </w:tc>
        <w:tc>
          <w:tcPr>
            <w:tcW w:w="25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and support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Professional services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136,331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56,076,723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55,177,162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56,133,286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55,046,507</w:t>
            </w:r>
          </w:p>
        </w:tc>
        <w:tc>
          <w:tcPr>
            <w:tcW w:w="0" w:type="dxa"/>
            <w:vAlign w:val="bottom"/>
          </w:tcPr>
          <w:p>
            <w:pPr>
              <w:spacing w:after="0"/>
              <w:rPr>
                <w:sz w:val="1"/>
                <w:szCs w:val="1"/>
                <w:color w:val="auto"/>
              </w:rPr>
            </w:pPr>
          </w:p>
        </w:tc>
      </w:tr>
      <w:tr>
        <w:trPr>
          <w:trHeight w:val="55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8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Pr>
          <w:p>
            <w:pPr>
              <w:spacing w:after="0"/>
              <w:rPr>
                <w:sz w:val="22"/>
                <w:szCs w:val="22"/>
                <w:color w:val="auto"/>
              </w:rPr>
            </w:pPr>
          </w:p>
        </w:tc>
        <w:tc>
          <w:tcPr>
            <w:tcW w:w="25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968"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3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3860" w:type="dxa"/>
            <w:vAlign w:val="bottom"/>
          </w:tcPr>
          <w:p>
            <w:pPr>
              <w:spacing w:after="0"/>
              <w:rPr>
                <w:sz w:val="24"/>
                <w:szCs w:val="24"/>
                <w:color w:val="auto"/>
              </w:rPr>
            </w:pPr>
          </w:p>
        </w:tc>
        <w:tc>
          <w:tcPr>
            <w:tcW w:w="33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33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8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60" w:type="dxa"/>
            <w:vAlign w:val="bottom"/>
          </w:tcPr>
          <w:p>
            <w:pPr>
              <w:spacing w:after="0"/>
              <w:rPr>
                <w:sz w:val="20"/>
                <w:szCs w:val="20"/>
                <w:color w:val="auto"/>
              </w:rPr>
            </w:pPr>
          </w:p>
        </w:tc>
        <w:tc>
          <w:tcPr>
            <w:tcW w:w="19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301,835</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514,585</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148,433</w:t>
            </w: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costs</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50,914</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receivables</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7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1,048,242</w:t>
            </w: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54,858</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196,844</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27,389</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7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7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1,345,742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1,368,469</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3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457,608</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senior notes, current</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7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592,425</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 senior notes, non-current</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764,891</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obligations, non-current</w:t>
            </w:r>
          </w:p>
        </w:tc>
        <w:tc>
          <w:tcPr>
            <w:tcW w:w="27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1,412,270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1,410,153</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672,363</w:t>
            </w: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(707,683)</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7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7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(41,684)</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7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1,368,469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40" w:top="968"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80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0"/>
        </w:trPr>
        <w:tc>
          <w:tcPr>
            <w:tcW w:w="8300" w:type="dxa"/>
            <w:vAlign w:val="bottom"/>
            <w:gridSpan w:val="8"/>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1"/>
        </w:trPr>
        <w:tc>
          <w:tcPr>
            <w:tcW w:w="4960" w:type="dxa"/>
            <w:vAlign w:val="bottom"/>
          </w:tcPr>
          <w:p>
            <w:pPr>
              <w:spacing w:after="0"/>
              <w:rPr>
                <w:sz w:val="19"/>
                <w:szCs w:val="19"/>
                <w:color w:val="auto"/>
              </w:rPr>
            </w:pPr>
          </w:p>
        </w:tc>
        <w:tc>
          <w:tcPr>
            <w:tcW w:w="180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20" w:type="dxa"/>
            <w:vAlign w:val="bottom"/>
          </w:tcPr>
          <w:p>
            <w:pPr>
              <w:spacing w:after="0"/>
              <w:rPr>
                <w:sz w:val="20"/>
                <w:szCs w:val="20"/>
                <w:color w:val="auto"/>
              </w:rPr>
            </w:pPr>
          </w:p>
        </w:tc>
        <w:tc>
          <w:tcPr>
            <w:tcW w:w="25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(29,235)</w:t>
            </w:r>
          </w:p>
        </w:tc>
      </w:tr>
      <w:tr>
        <w:trPr>
          <w:trHeight w:val="184"/>
        </w:trPr>
        <w:tc>
          <w:tcPr>
            <w:tcW w:w="49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to reconcile net loss to net cash provided by (used in)</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48,409</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(Recovery of) provision for doubtful accounts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Accretion of premiums and discounts on marketable securities, net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costs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w:t>
            </w: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29"/>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r>
      <w:tr>
        <w:trPr>
          <w:trHeight w:val="230"/>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29"/>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30"/>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29"/>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r>
      <w:tr>
        <w:trPr>
          <w:trHeight w:val="230"/>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30"/>
        </w:trPr>
        <w:tc>
          <w:tcPr>
            <w:tcW w:w="4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24,830</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(151,553)</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236,740</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(98,280)</w:t>
            </w: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w:t>
            </w:r>
          </w:p>
        </w:tc>
      </w:tr>
      <w:tr>
        <w:trPr>
          <w:trHeight w:val="837"/>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67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6720" w:type="dxa"/>
            <w:vAlign w:val="bottom"/>
            <w:gridSpan w:val="5"/>
          </w:tcPr>
          <w:p>
            <w:pPr>
              <w:jc w:val="center"/>
              <w:ind w:left="435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8140" w:type="dxa"/>
            <w:vAlign w:val="bottom"/>
            <w:gridSpan w:val="8"/>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6720" w:type="dxa"/>
            <w:vAlign w:val="bottom"/>
            <w:gridSpan w:val="5"/>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option exercises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shd w:val="clear" w:color="auto" w:fill="CCEEFF"/>
          </w:tcPr>
          <w:p>
            <w:pPr>
              <w:spacing w:after="0"/>
              <w:rPr>
                <w:sz w:val="16"/>
                <w:szCs w:val="16"/>
                <w:color w:val="auto"/>
              </w:rPr>
            </w:pPr>
          </w:p>
        </w:tc>
        <w:tc>
          <w:tcPr>
            <w:tcW w:w="52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Taxes paid related to net share settlements of stock-based</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 awards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(13,491)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(10,251)</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Proceeds from shares issued in connection with employee stock</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plan</w:t>
            </w:r>
          </w:p>
        </w:tc>
        <w:tc>
          <w:tcPr>
            <w:tcW w:w="220" w:type="dxa"/>
            <w:vAlign w:val="bottom"/>
          </w:tcPr>
          <w:p>
            <w:pPr>
              <w:spacing w:after="0"/>
              <w:rPr>
                <w:sz w:val="20"/>
                <w:szCs w:val="20"/>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Repurchases of Class A common stock</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(28,169)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242,736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296,581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302,350</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268,412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284,965</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268,412</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4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267,897</w:t>
            </w:r>
          </w:p>
        </w:tc>
        <w:tc>
          <w:tcPr>
            <w:tcW w:w="20" w:type="dxa"/>
            <w:vAlign w:val="bottom"/>
          </w:tcPr>
          <w:p>
            <w:pPr>
              <w:spacing w:after="0"/>
              <w:rPr>
                <w:sz w:val="19"/>
                <w:szCs w:val="19"/>
                <w:color w:val="auto"/>
              </w:rPr>
            </w:pPr>
          </w:p>
        </w:tc>
        <w:tc>
          <w:tcPr>
            <w:tcW w:w="5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284,253</w:t>
            </w:r>
          </w:p>
        </w:tc>
        <w:tc>
          <w:tcPr>
            <w:tcW w:w="40" w:type="dxa"/>
            <w:vAlign w:val="bottom"/>
          </w:tcPr>
          <w:p>
            <w:pPr>
              <w:spacing w:after="0"/>
              <w:rPr>
                <w:sz w:val="19"/>
                <w:szCs w:val="19"/>
                <w:color w:val="auto"/>
              </w:rPr>
            </w:pPr>
          </w:p>
        </w:tc>
        <w:tc>
          <w:tcPr>
            <w:tcW w:w="4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2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Restricted cash included within prepaid expenses and other at end of</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at end of period shown</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284,965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268,412</w:t>
            </w:r>
          </w:p>
        </w:tc>
        <w:tc>
          <w:tcPr>
            <w:tcW w:w="20" w:type="dxa"/>
            <w:vAlign w:val="bottom"/>
          </w:tcPr>
          <w:p>
            <w:pPr>
              <w:spacing w:after="0"/>
              <w:rPr>
                <w:sz w:val="13"/>
                <w:szCs w:val="13"/>
                <w:color w:val="auto"/>
              </w:rPr>
            </w:pPr>
          </w:p>
        </w:tc>
        <w:tc>
          <w:tcPr>
            <w:tcW w:w="520" w:type="dxa"/>
            <w:vAlign w:val="bottom"/>
            <w:gridSpan w:val="3"/>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284,965</w:t>
            </w:r>
          </w:p>
        </w:tc>
        <w:tc>
          <w:tcPr>
            <w:tcW w:w="40" w:type="dxa"/>
            <w:vAlign w:val="bottom"/>
          </w:tcPr>
          <w:p>
            <w:pPr>
              <w:spacing w:after="0"/>
              <w:rPr>
                <w:sz w:val="13"/>
                <w:szCs w:val="13"/>
                <w:color w:val="auto"/>
              </w:rPr>
            </w:pPr>
          </w:p>
        </w:tc>
        <w:tc>
          <w:tcPr>
            <w:tcW w:w="400" w:type="dxa"/>
            <w:vAlign w:val="bottom"/>
            <w:gridSpan w:val="3"/>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268,412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the consolidated statements of cash flows</w:t>
            </w:r>
          </w:p>
        </w:tc>
        <w:tc>
          <w:tcPr>
            <w:tcW w:w="2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TABLE I</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WORKIVA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RECONCILIATION OF NON-GAAP INFORMATION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19"/>
                <w:szCs w:val="19"/>
                <w:color w:val="auto"/>
              </w:rPr>
            </w:pPr>
          </w:p>
        </w:tc>
        <w:tc>
          <w:tcPr>
            <w:tcW w:w="26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2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subscription and support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259,842</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subscription and support, non-GAAP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166,396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321,189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263,386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professional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professional services, non-GAAP</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165,644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323,582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270,475</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non-GAAP</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275,509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subscription and support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55,872</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Amortization of acquisition-related intangibles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subscription and support, non-GAAP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62,546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52,328</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professional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26,823</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professional services, non-GAAP</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93,903</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Amortization of acquisition-related intangibles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167,330</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16,528</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Amortization of acquisition-related intangibles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non-GAAP</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149,977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50,674</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non-GAAP</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TABLE I</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WORKIVA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RECONCILIATION OF NON-GAAP INFORMATION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19"/>
                <w:szCs w:val="19"/>
                <w:color w:val="auto"/>
              </w:rPr>
            </w:pPr>
          </w:p>
        </w:tc>
        <w:tc>
          <w:tcPr>
            <w:tcW w:w="28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(22,146)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(23,149)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(46,896)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(41,432)</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56,355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48,409</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 non-GAAP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9,654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GAAP operating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margin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(40,771)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(29,235)</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25,402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56,355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48,409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non-GAAP</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10,979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19,348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21,851</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basic and diluted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basic share, non-GAAP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per diluted share, non-GAAP</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 - basic, non-</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28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56,076,723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55,177,162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56,133,286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55,046,507</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1,738,597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1,240,869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1,997,835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2,214,155</w:t>
            </w: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 - diluted, non-</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28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57,815,320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56,418,031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58,131,121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57,260,662</w:t>
            </w:r>
          </w:p>
        </w:tc>
        <w:tc>
          <w:tcPr>
            <w:tcW w:w="0" w:type="dxa"/>
            <w:vAlign w:val="bottom"/>
          </w:tcPr>
          <w:p>
            <w:pPr>
              <w:spacing w:after="0"/>
              <w:rPr>
                <w:sz w:val="1"/>
                <w:szCs w:val="1"/>
                <w:color w:val="auto"/>
              </w:rPr>
            </w:pPr>
          </w:p>
        </w:tc>
      </w:tr>
      <w:tr>
        <w:trPr>
          <w:trHeight w:val="270"/>
        </w:trPr>
        <w:tc>
          <w:tcPr>
            <w:tcW w:w="4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50,311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42,953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24,830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49,316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41,195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24,519</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margin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TABLE II</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WORKIVA INC.</w:t>
      </w: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GUIDANCE</w:t>
      </w:r>
    </w:p>
    <w:tbl>
      <w:tblPr>
        <w:tblLayout w:type="fixed"/>
        <w:tblInd w:w="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5"/>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Three months ending September 30,</w:t>
            </w:r>
          </w:p>
        </w:tc>
        <w:tc>
          <w:tcPr>
            <w:tcW w:w="220" w:type="dxa"/>
            <w:vAlign w:val="bottom"/>
          </w:tcPr>
          <w:p>
            <w:pPr>
              <w:spacing w:after="0"/>
              <w:rPr>
                <w:sz w:val="15"/>
                <w:szCs w:val="15"/>
                <w:color w:val="auto"/>
              </w:rPr>
            </w:pPr>
          </w:p>
        </w:tc>
        <w:tc>
          <w:tcPr>
            <w:tcW w:w="2840" w:type="dxa"/>
            <w:vAlign w:val="bottom"/>
            <w:gridSpan w:val="4"/>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Year ending December 31, 2025</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operating margin</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margin</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basic share, GAAP range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(0.79)</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0.53</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12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non-GAAP range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0.37</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60" w:right="339" w:bottom="1440" w:gutter="0" w:footer="0" w:header="0"/>
        </w:sectPr>
      </w:pPr>
    </w:p>
    <w:p>
      <w:pPr>
        <w:ind w:left="140" w:right="320"/>
        <w:spacing w:after="0" w:line="234" w:lineRule="auto"/>
        <w:rPr>
          <w:sz w:val="20"/>
          <w:szCs w:val="20"/>
          <w:color w:val="auto"/>
        </w:rPr>
      </w:pPr>
      <w:r>
        <w:rPr>
          <w:rFonts w:ascii="Times New Roman" w:cs="Times New Roman" w:eastAsia="Times New Roman" w:hAnsi="Times New Roman"/>
          <w:sz w:val="18"/>
          <w:szCs w:val="18"/>
          <w:color w:val="auto"/>
        </w:rPr>
        <w:t>Weighted-average common shares used in calculating GAAP earnings per share, basic</w:t>
      </w:r>
    </w:p>
    <w:p>
      <w:pPr>
        <w:spacing w:after="0" w:line="10" w:lineRule="exact"/>
        <w:rPr>
          <w:sz w:val="20"/>
          <w:szCs w:val="20"/>
          <w:color w:val="auto"/>
        </w:rPr>
      </w:pPr>
    </w:p>
    <w:p>
      <w:pPr>
        <w:ind w:left="140"/>
        <w:spacing w:after="0" w:line="237" w:lineRule="auto"/>
        <w:rPr>
          <w:sz w:val="20"/>
          <w:szCs w:val="20"/>
          <w:color w:val="auto"/>
        </w:rPr>
      </w:pPr>
      <w:r>
        <w:rPr>
          <w:rFonts w:ascii="Times New Roman" w:cs="Times New Roman" w:eastAsia="Times New Roman" w:hAnsi="Times New Roman"/>
          <w:sz w:val="18"/>
          <w:szCs w:val="18"/>
          <w:color w:val="auto"/>
        </w:rPr>
        <w:t>Weighted-average common shares used in calculating non-GAAP earnings per share, diluted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6"/>
              </w:rPr>
              <w:t>56,400,000</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56,400,000</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56,400,000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56,400,000</w:t>
            </w:r>
          </w:p>
        </w:tc>
      </w:tr>
      <w:tr>
        <w:trPr>
          <w:trHeight w:val="418"/>
        </w:trPr>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6"/>
              </w:rPr>
              <w:t>58,000,000</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58,000,000</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59,500,000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-265430</wp:posOffset>
            </wp:positionV>
            <wp:extent cx="7132320" cy="266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560"/>
            <w:col w:w="5820"/>
          </w:cols>
          <w:pgMar w:left="320" w:top="9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sectPr>
      <w:pgSz w:w="11900" w:h="16838" w:orient="portrait"/>
      <w:cols w:equalWidth="0" w:num="1">
        <w:col w:w="11240"/>
      </w:cols>
      <w:pgMar w:left="320" w:top="96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2025-07-31T15:31:53Z</dcterms:created>
  <dcterms:modified xsi:type="dcterms:W3CDTF">2025-07-31T15:31:53Z</dcterms:modified>
</cp:coreProperties>
</file>